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49" w:rsidRPr="00665D49" w:rsidRDefault="00665D49" w:rsidP="00665D49">
      <w:pPr>
        <w:rPr>
          <w:rFonts w:ascii="Arial" w:eastAsia="Calibri" w:hAnsi="Arial"/>
          <w:b/>
          <w:i/>
          <w:lang w:eastAsia="en-US"/>
        </w:rPr>
      </w:pPr>
      <w:r>
        <w:rPr>
          <w:rFonts w:ascii="Arial" w:eastAsia="Calibri" w:hAnsi="Arial"/>
          <w:b/>
          <w:i/>
          <w:lang w:eastAsia="en-US"/>
        </w:rPr>
        <w:t>Erklärung zum Besserstellungsverbot</w:t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  <w:t xml:space="preserve"> </w:t>
      </w:r>
    </w:p>
    <w:p w:rsidR="00665D49" w:rsidRPr="006B75E2" w:rsidRDefault="00665D49" w:rsidP="00665D49">
      <w:pPr>
        <w:pBdr>
          <w:top w:val="single" w:sz="4" w:space="1" w:color="auto"/>
        </w:pBd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6804"/>
        </w:tabs>
        <w:rPr>
          <w:rFonts w:ascii="Arial" w:eastAsia="Calibri" w:hAnsi="Arial"/>
          <w:sz w:val="22"/>
          <w:szCs w:val="22"/>
          <w:u w:val="single"/>
          <w:lang w:eastAsia="en-US"/>
        </w:rPr>
      </w:pPr>
      <w:r w:rsidRPr="00665D49">
        <w:rPr>
          <w:rFonts w:ascii="Arial" w:eastAsia="Calibri" w:hAnsi="Arial"/>
          <w:b/>
          <w:sz w:val="22"/>
          <w:szCs w:val="22"/>
          <w:lang w:eastAsia="en-US"/>
        </w:rPr>
        <w:t xml:space="preserve">Aktenzeichen: </w:t>
      </w:r>
      <w:r w:rsidR="002049F9">
        <w:rPr>
          <w:rFonts w:ascii="Arial" w:eastAsia="Calibri" w:hAnsi="Arial"/>
          <w:b/>
          <w:sz w:val="22"/>
          <w:szCs w:val="22"/>
          <w:lang w:eastAsia="en-US"/>
        </w:rPr>
        <w:t>5</w:t>
      </w:r>
      <w:r w:rsidRPr="00665D49">
        <w:rPr>
          <w:rFonts w:ascii="Arial" w:eastAsia="Calibri" w:hAnsi="Arial"/>
          <w:b/>
          <w:sz w:val="22"/>
          <w:szCs w:val="22"/>
          <w:lang w:eastAsia="en-US"/>
        </w:rPr>
        <w:t xml:space="preserve">01 – 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separate"/>
      </w:r>
      <w:r w:rsidR="0011333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="0011333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="0011333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="0011333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="0011333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end"/>
      </w:r>
      <w:bookmarkEnd w:id="0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ab/>
      </w:r>
    </w:p>
    <w:p w:rsidR="00665D49" w:rsidRPr="00665D49" w:rsidRDefault="00665D49" w:rsidP="00665D49">
      <w:pPr>
        <w:rPr>
          <w:rFonts w:ascii="Arial" w:eastAsia="Calibri" w:hAnsi="Arial"/>
          <w:b/>
          <w:sz w:val="22"/>
          <w:szCs w:val="22"/>
          <w:lang w:eastAsia="en-US"/>
        </w:rPr>
      </w:pPr>
    </w:p>
    <w:p w:rsidR="00665D49" w:rsidRPr="00B17122" w:rsidRDefault="002D07FC" w:rsidP="00665D49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B17122">
        <w:rPr>
          <w:rFonts w:ascii="Arial" w:eastAsia="Calibri" w:hAnsi="Arial"/>
          <w:b/>
          <w:sz w:val="22"/>
          <w:szCs w:val="22"/>
          <w:lang w:eastAsia="en-US"/>
        </w:rPr>
        <w:t>Antragsteller</w:t>
      </w:r>
      <w:r w:rsidR="00665D49" w:rsidRPr="00B17122">
        <w:rPr>
          <w:rFonts w:ascii="Arial" w:eastAsia="Calibri" w:hAnsi="Arial"/>
          <w:b/>
          <w:sz w:val="22"/>
          <w:szCs w:val="22"/>
          <w:lang w:eastAsia="en-US"/>
        </w:rPr>
        <w:t>:</w:t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bookmarkEnd w:id="1"/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bookmarkStart w:id="2" w:name="_GoBack"/>
      <w:bookmarkEnd w:id="2"/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="0011333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665D49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rPr>
          <w:rFonts w:ascii="Arial" w:eastAsia="Calibri" w:hAnsi="Arial"/>
          <w:sz w:val="22"/>
          <w:szCs w:val="22"/>
          <w:lang w:eastAsia="en-US"/>
        </w:rPr>
      </w:pPr>
    </w:p>
    <w:p w:rsidR="00C76DAB" w:rsidRPr="003B6DE6" w:rsidRDefault="00C76DAB" w:rsidP="00EC18DB">
      <w:pPr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 xml:space="preserve">Förderung </w:t>
      </w:r>
      <w:r w:rsidRPr="003B6DE6">
        <w:rPr>
          <w:rFonts w:ascii="Arial" w:eastAsia="Calibri" w:hAnsi="Arial"/>
          <w:b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             "/>
              <w:listEntry w:val="Jahresprogramm Bildungsmaßnahmen"/>
              <w:listEntry w:val="Jugendbildungsreferenten"/>
              <w:listEntry w:val="Verwaltungsausgaben Verbände"/>
              <w:listEntry w:val="Maßnahmen der Internationalen Jugendarbeit"/>
              <w:listEntry w:val="Jugendbildungsstätte"/>
              <w:listEntry w:val="Sonstige Maßnahmen"/>
              <w:listEntry w:val="Jugendsozialarbeit"/>
              <w:listEntry w:val="Erzieherischer Kinder- und Jugendschutz"/>
              <w:listEntry w:val="wohlfahrtspflegerische Einzelmaßnahmen"/>
              <w:listEntry w:val="Beratungsangebote für LSBTI"/>
            </w:ddList>
          </w:ffData>
        </w:fldChar>
      </w:r>
      <w:bookmarkStart w:id="3" w:name="Dropdown1"/>
      <w:r w:rsidRPr="003B6DE6">
        <w:rPr>
          <w:rFonts w:ascii="Arial" w:eastAsia="Calibri" w:hAnsi="Arial"/>
          <w:b/>
          <w:lang w:eastAsia="en-US"/>
        </w:rPr>
        <w:instrText xml:space="preserve"> FORMDROPDOWN </w:instrText>
      </w:r>
      <w:r w:rsidR="00113339">
        <w:rPr>
          <w:rFonts w:ascii="Arial" w:eastAsia="Calibri" w:hAnsi="Arial"/>
          <w:b/>
          <w:lang w:eastAsia="en-US"/>
        </w:rPr>
      </w:r>
      <w:r w:rsidR="00113339">
        <w:rPr>
          <w:rFonts w:ascii="Arial" w:eastAsia="Calibri" w:hAnsi="Arial"/>
          <w:b/>
          <w:lang w:eastAsia="en-US"/>
        </w:rPr>
        <w:fldChar w:fldCharType="separate"/>
      </w:r>
      <w:r w:rsidRPr="003B6DE6">
        <w:rPr>
          <w:rFonts w:ascii="Arial" w:eastAsia="Calibri" w:hAnsi="Arial"/>
          <w:b/>
          <w:lang w:eastAsia="en-US"/>
        </w:rPr>
        <w:fldChar w:fldCharType="end"/>
      </w:r>
      <w:bookmarkEnd w:id="3"/>
    </w:p>
    <w:p w:rsidR="00665D49" w:rsidRPr="00665D49" w:rsidRDefault="00665D49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665D49">
        <w:rPr>
          <w:rFonts w:ascii="Arial" w:eastAsia="Calibri" w:hAnsi="Arial"/>
          <w:b/>
          <w:u w:val="single"/>
          <w:lang w:eastAsia="en-US"/>
        </w:rPr>
        <w:t>hier:</w:t>
      </w:r>
      <w:r w:rsidRPr="00665D49"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t>Erklärung zum Besserstellungsverbot in der Projektförderung</w:t>
      </w:r>
    </w:p>
    <w:p w:rsidR="000200B3" w:rsidRPr="003B6DE6" w:rsidRDefault="00665D49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ab/>
      </w:r>
      <w:r w:rsidR="003C1D15" w:rsidRPr="003B6DE6">
        <w:rPr>
          <w:rFonts w:ascii="Arial" w:eastAsia="Calibri" w:hAnsi="Arial"/>
          <w:b/>
          <w:lang w:eastAsia="en-US"/>
        </w:rPr>
        <w:t xml:space="preserve">Projekt: </w:t>
      </w:r>
      <w:r w:rsidR="003C1D15" w:rsidRPr="003B6DE6">
        <w:rPr>
          <w:rFonts w:ascii="Arial" w:eastAsia="Calibri" w:hAnsi="Arial"/>
          <w:b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C1D15" w:rsidRPr="003B6DE6">
        <w:rPr>
          <w:rFonts w:ascii="Arial" w:eastAsia="Calibri" w:hAnsi="Arial"/>
          <w:b/>
          <w:lang w:eastAsia="en-US"/>
        </w:rPr>
        <w:instrText xml:space="preserve"> FORMTEXT </w:instrText>
      </w:r>
      <w:r w:rsidR="003C1D15" w:rsidRPr="003B6DE6">
        <w:rPr>
          <w:rFonts w:ascii="Arial" w:eastAsia="Calibri" w:hAnsi="Arial"/>
          <w:b/>
          <w:lang w:eastAsia="en-US"/>
        </w:rPr>
      </w:r>
      <w:r w:rsidR="003C1D15" w:rsidRPr="003B6DE6">
        <w:rPr>
          <w:rFonts w:ascii="Arial" w:eastAsia="Calibri" w:hAnsi="Arial"/>
          <w:b/>
          <w:lang w:eastAsia="en-US"/>
        </w:rPr>
        <w:fldChar w:fldCharType="separate"/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fldChar w:fldCharType="end"/>
      </w:r>
      <w:bookmarkEnd w:id="4"/>
    </w:p>
    <w:p w:rsidR="000200B3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>Anlagen:</w:t>
      </w:r>
      <w:r w:rsidRPr="003B6DE6"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5"/>
    </w:p>
    <w:p w:rsidR="000200B3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6"/>
    </w:p>
    <w:p w:rsidR="00995738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7"/>
    </w:p>
    <w:p w:rsidR="00995738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8"/>
    </w:p>
    <w:p w:rsidR="00995738" w:rsidRPr="006B75E2" w:rsidRDefault="00995738" w:rsidP="00995738">
      <w:pPr>
        <w:pStyle w:val="Default"/>
        <w:jc w:val="both"/>
        <w:rPr>
          <w:b/>
          <w:sz w:val="8"/>
          <w:szCs w:val="8"/>
        </w:rPr>
      </w:pPr>
    </w:p>
    <w:p w:rsidR="00B17122" w:rsidRPr="00F64B92" w:rsidRDefault="00B17122" w:rsidP="00995738">
      <w:pPr>
        <w:pStyle w:val="Default"/>
        <w:jc w:val="both"/>
        <w:rPr>
          <w:sz w:val="8"/>
          <w:szCs w:val="8"/>
        </w:rPr>
      </w:pPr>
    </w:p>
    <w:p w:rsidR="00995738" w:rsidRDefault="00995738" w:rsidP="00995738">
      <w:pPr>
        <w:pStyle w:val="Default"/>
        <w:jc w:val="both"/>
        <w:rPr>
          <w:sz w:val="22"/>
          <w:szCs w:val="22"/>
        </w:rPr>
      </w:pPr>
      <w:r w:rsidRPr="00B23FA3">
        <w:rPr>
          <w:sz w:val="22"/>
          <w:szCs w:val="22"/>
        </w:rPr>
        <w:t xml:space="preserve">Unter Berücksichtigung der </w:t>
      </w:r>
      <w:r w:rsidR="00665D49">
        <w:rPr>
          <w:sz w:val="22"/>
          <w:szCs w:val="22"/>
        </w:rPr>
        <w:t xml:space="preserve">nachfolgenden </w:t>
      </w:r>
      <w:r w:rsidRPr="00B23FA3">
        <w:rPr>
          <w:sz w:val="22"/>
          <w:szCs w:val="22"/>
        </w:rPr>
        <w:t xml:space="preserve">Hinweise erkläre ich </w:t>
      </w:r>
    </w:p>
    <w:p w:rsidR="00B17122" w:rsidRDefault="00B17122" w:rsidP="00995738">
      <w:pPr>
        <w:pStyle w:val="Default"/>
        <w:jc w:val="both"/>
        <w:rPr>
          <w:b/>
          <w:i/>
          <w:sz w:val="20"/>
          <w:szCs w:val="20"/>
        </w:rPr>
      </w:pPr>
    </w:p>
    <w:p w:rsidR="00301F6C" w:rsidRDefault="00301F6C" w:rsidP="004150D5">
      <w:pPr>
        <w:pStyle w:val="Default"/>
        <w:jc w:val="both"/>
        <w:rPr>
          <w:b/>
          <w:i/>
          <w:sz w:val="20"/>
          <w:szCs w:val="20"/>
        </w:rPr>
      </w:pPr>
      <w:r w:rsidRPr="00B23FA3">
        <w:rPr>
          <w:b/>
          <w:i/>
          <w:sz w:val="20"/>
          <w:szCs w:val="20"/>
        </w:rPr>
        <w:t>Bitte Zutreffendes ankreuzen</w:t>
      </w:r>
      <w:r w:rsidR="00C302B4">
        <w:rPr>
          <w:b/>
          <w:i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2"/>
        <w:gridCol w:w="469"/>
        <w:gridCol w:w="8490"/>
      </w:tblGrid>
      <w:tr w:rsidR="00B17122" w:rsidTr="00B17122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1.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Default="00B17122" w:rsidP="00B171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 w:rsidRPr="00D93BCF">
              <w:rPr>
                <w:sz w:val="22"/>
                <w:szCs w:val="22"/>
              </w:rPr>
              <w:t xml:space="preserve">im Rahmen </w:t>
            </w:r>
            <w:r>
              <w:rPr>
                <w:sz w:val="22"/>
                <w:szCs w:val="22"/>
              </w:rPr>
              <w:t xml:space="preserve">der o. g. </w:t>
            </w:r>
            <w:r w:rsidRPr="00D93BCF">
              <w:rPr>
                <w:sz w:val="22"/>
                <w:szCs w:val="22"/>
              </w:rPr>
              <w:t xml:space="preserve">Projektförderung </w:t>
            </w:r>
            <w:r>
              <w:rPr>
                <w:sz w:val="22"/>
                <w:szCs w:val="22"/>
              </w:rPr>
              <w:t>beantragte Zuwendung</w:t>
            </w:r>
            <w:r w:rsidRPr="00927CC5">
              <w:rPr>
                <w:sz w:val="22"/>
                <w:szCs w:val="22"/>
              </w:rPr>
              <w:t xml:space="preserve"> betr</w:t>
            </w:r>
            <w:r>
              <w:rPr>
                <w:sz w:val="22"/>
                <w:szCs w:val="22"/>
              </w:rPr>
              <w:t xml:space="preserve">ägt </w:t>
            </w:r>
            <w:r w:rsidRPr="006B75E2">
              <w:rPr>
                <w:b/>
                <w:sz w:val="22"/>
                <w:szCs w:val="22"/>
              </w:rPr>
              <w:t>nicht</w:t>
            </w:r>
            <w:r>
              <w:rPr>
                <w:sz w:val="22"/>
                <w:szCs w:val="22"/>
              </w:rPr>
              <w:t xml:space="preserve"> mehr als 50.000 Euro.</w:t>
            </w:r>
          </w:p>
          <w:p w:rsidR="00B17122" w:rsidRDefault="00B17122" w:rsidP="00B171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 bezieht sich </w:t>
            </w:r>
            <w:r w:rsidRPr="006B75E2">
              <w:rPr>
                <w:sz w:val="16"/>
                <w:szCs w:val="16"/>
              </w:rPr>
              <w:t xml:space="preserve">nicht </w:t>
            </w:r>
            <w:r>
              <w:rPr>
                <w:sz w:val="16"/>
                <w:szCs w:val="16"/>
              </w:rPr>
              <w:t xml:space="preserve">nur </w:t>
            </w:r>
            <w:r w:rsidRPr="006B75E2">
              <w:rPr>
                <w:sz w:val="16"/>
                <w:szCs w:val="16"/>
              </w:rPr>
              <w:t>auf den reinen Landesanteil, sondern auf die Zuwendung</w:t>
            </w:r>
            <w:r>
              <w:rPr>
                <w:sz w:val="16"/>
                <w:szCs w:val="16"/>
              </w:rPr>
              <w:t xml:space="preserve"> einschließlich Bundes- und EU-Mittel</w:t>
            </w:r>
            <w:r w:rsidRPr="006B75E2">
              <w:rPr>
                <w:sz w:val="16"/>
                <w:szCs w:val="16"/>
              </w:rPr>
              <w:t xml:space="preserve">, die seitens der Landesbewilligungsbehörde für das beantragte Projekt bewilligt </w:t>
            </w:r>
            <w:r>
              <w:rPr>
                <w:sz w:val="16"/>
                <w:szCs w:val="16"/>
              </w:rPr>
              <w:t>werden soll</w:t>
            </w:r>
            <w:r w:rsidRPr="006B75E2">
              <w:rPr>
                <w:sz w:val="16"/>
                <w:szCs w:val="16"/>
              </w:rPr>
              <w:t>.</w:t>
            </w:r>
          </w:p>
          <w:p w:rsidR="00B17122" w:rsidRPr="00D93BCF" w:rsidRDefault="00B17122" w:rsidP="00B17122">
            <w:pPr>
              <w:pStyle w:val="Default"/>
              <w:rPr>
                <w:sz w:val="16"/>
                <w:szCs w:val="16"/>
              </w:rPr>
            </w:pPr>
          </w:p>
          <w:p w:rsidR="00B17122" w:rsidRPr="003A3341" w:rsidRDefault="00B17122" w:rsidP="00B17122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4F15F" wp14:editId="482C979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222885" cy="133985"/>
                      <wp:effectExtent l="8890" t="20955" r="15875" b="260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B43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.45pt;margin-top:1.35pt;width:17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"/>
                  </w:pict>
                </mc:Fallback>
              </mc:AlternateContent>
            </w:r>
            <w:r>
              <w:rPr>
                <w:b/>
                <w:i/>
                <w:color w:val="C45911"/>
                <w:sz w:val="26"/>
                <w:szCs w:val="26"/>
              </w:rPr>
              <w:t xml:space="preserve">       </w:t>
            </w:r>
            <w:r w:rsidRPr="00CE6115">
              <w:rPr>
                <w:b/>
                <w:i/>
                <w:color w:val="538135"/>
                <w:sz w:val="28"/>
                <w:szCs w:val="28"/>
              </w:rPr>
              <w:t>Keine Anwendung des Besserstellungsverbots</w:t>
            </w:r>
          </w:p>
          <w:p w:rsidR="00B17122" w:rsidRP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B17122" w:rsidRDefault="00B17122" w:rsidP="00B17122">
            <w:pPr>
              <w:pStyle w:val="Default"/>
              <w:ind w:right="455"/>
              <w:jc w:val="right"/>
              <w:rPr>
                <w:sz w:val="16"/>
                <w:szCs w:val="16"/>
              </w:rPr>
            </w:pPr>
          </w:p>
        </w:tc>
      </w:tr>
      <w:tr w:rsidR="00B17122" w:rsidTr="00B17122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2.1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927CC5" w:rsidRDefault="00B17122" w:rsidP="00B17122">
            <w:pPr>
              <w:pStyle w:val="Default"/>
              <w:jc w:val="both"/>
              <w:rPr>
                <w:sz w:val="22"/>
                <w:szCs w:val="22"/>
              </w:rPr>
            </w:pPr>
            <w:r w:rsidRPr="00B17122">
              <w:rPr>
                <w:color w:val="auto"/>
                <w:sz w:val="22"/>
                <w:szCs w:val="22"/>
              </w:rPr>
              <w:t>Die (</w:t>
            </w:r>
            <w:r w:rsidRPr="00927CC5">
              <w:rPr>
                <w:sz w:val="22"/>
                <w:szCs w:val="22"/>
              </w:rPr>
              <w:t>nicht nur projektbezogenen</w:t>
            </w:r>
            <w:r>
              <w:rPr>
                <w:sz w:val="22"/>
                <w:szCs w:val="22"/>
              </w:rPr>
              <w:t>)</w:t>
            </w:r>
            <w:r w:rsidRPr="00927CC5">
              <w:rPr>
                <w:sz w:val="22"/>
                <w:szCs w:val="22"/>
              </w:rPr>
              <w:t xml:space="preserve"> Gesamtausgaben </w:t>
            </w:r>
            <w:r w:rsidRPr="00B17122">
              <w:rPr>
                <w:color w:val="auto"/>
                <w:sz w:val="22"/>
                <w:szCs w:val="22"/>
              </w:rPr>
              <w:t xml:space="preserve">des Antragstellers </w:t>
            </w:r>
            <w:r w:rsidRPr="00927CC5">
              <w:rPr>
                <w:sz w:val="22"/>
                <w:szCs w:val="22"/>
              </w:rPr>
              <w:t>werden</w:t>
            </w:r>
            <w:r w:rsidRPr="0061518F">
              <w:rPr>
                <w:b/>
                <w:sz w:val="22"/>
                <w:szCs w:val="22"/>
              </w:rPr>
              <w:t xml:space="preserve"> </w:t>
            </w:r>
            <w:r w:rsidRPr="00927CC5">
              <w:rPr>
                <w:b/>
                <w:sz w:val="22"/>
                <w:szCs w:val="22"/>
                <w:u w:val="single"/>
              </w:rPr>
              <w:t>nicht überwiegend</w:t>
            </w:r>
            <w:r w:rsidRPr="00927CC5">
              <w:rPr>
                <w:sz w:val="22"/>
                <w:szCs w:val="22"/>
              </w:rPr>
              <w:t xml:space="preserve"> aus Zuwendungen der öffentlichen Hand einschließlich Bund und EU bestritten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nicht mehr als</w:t>
            </w:r>
            <w:r w:rsidRPr="00927CC5">
              <w:rPr>
                <w:sz w:val="22"/>
                <w:szCs w:val="22"/>
              </w:rPr>
              <w:t xml:space="preserve"> 50 v.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Zuwendungen bezgl. aller Ausgaben des Zuwendungsempfängers</w:t>
            </w:r>
            <w:r w:rsidRPr="00927CC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27CC5">
              <w:rPr>
                <w:sz w:val="22"/>
                <w:szCs w:val="22"/>
              </w:rPr>
              <w:t xml:space="preserve">          </w:t>
            </w:r>
          </w:p>
          <w:p w:rsidR="00B17122" w:rsidRPr="00AE54AA" w:rsidRDefault="00B17122" w:rsidP="00B17122">
            <w:pPr>
              <w:pStyle w:val="Default"/>
              <w:rPr>
                <w:i/>
                <w:sz w:val="12"/>
                <w:szCs w:val="12"/>
              </w:rPr>
            </w:pPr>
          </w:p>
          <w:p w:rsidR="00B17122" w:rsidRPr="006131C2" w:rsidRDefault="00B17122" w:rsidP="00B17122">
            <w:pPr>
              <w:pStyle w:val="Default"/>
              <w:rPr>
                <w:i/>
                <w:sz w:val="22"/>
                <w:szCs w:val="22"/>
                <w:u w:val="single"/>
              </w:rPr>
            </w:pPr>
            <w:r w:rsidRPr="006131C2">
              <w:rPr>
                <w:i/>
                <w:sz w:val="22"/>
                <w:szCs w:val="22"/>
                <w:u w:val="single"/>
              </w:rPr>
              <w:t xml:space="preserve">erforderliche Nachweise: </w:t>
            </w:r>
          </w:p>
          <w:p w:rsidR="00B17122" w:rsidRPr="00927CC5" w:rsidRDefault="00B17122" w:rsidP="00B17122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927CC5">
              <w:rPr>
                <w:i/>
                <w:sz w:val="22"/>
                <w:szCs w:val="22"/>
              </w:rPr>
              <w:t>Bilanz / Jahresabschluss des</w:t>
            </w:r>
            <w:r>
              <w:rPr>
                <w:i/>
                <w:sz w:val="22"/>
                <w:szCs w:val="22"/>
              </w:rPr>
              <w:t>/</w:t>
            </w:r>
            <w:proofErr w:type="gramStart"/>
            <w:r>
              <w:rPr>
                <w:i/>
                <w:sz w:val="22"/>
                <w:szCs w:val="22"/>
              </w:rPr>
              <w:t>der</w:t>
            </w:r>
            <w:r w:rsidRPr="00927CC5">
              <w:rPr>
                <w:i/>
                <w:sz w:val="22"/>
                <w:szCs w:val="22"/>
              </w:rPr>
              <w:t xml:space="preserve"> Vorjahres</w:t>
            </w:r>
            <w:proofErr w:type="gramEnd"/>
            <w:r>
              <w:rPr>
                <w:i/>
                <w:sz w:val="22"/>
                <w:szCs w:val="22"/>
              </w:rPr>
              <w:t>/Vorjahre</w:t>
            </w:r>
            <w:r w:rsidRPr="00927CC5">
              <w:rPr>
                <w:i/>
                <w:sz w:val="22"/>
                <w:szCs w:val="22"/>
              </w:rPr>
              <w:t xml:space="preserve"> oder</w:t>
            </w:r>
          </w:p>
          <w:p w:rsidR="00B17122" w:rsidRPr="00927CC5" w:rsidRDefault="00B17122" w:rsidP="00B17122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927CC5">
              <w:rPr>
                <w:i/>
                <w:sz w:val="22"/>
                <w:szCs w:val="22"/>
              </w:rPr>
              <w:t xml:space="preserve">Gegenüberstellung </w:t>
            </w:r>
            <w:r>
              <w:rPr>
                <w:i/>
                <w:sz w:val="22"/>
                <w:szCs w:val="22"/>
              </w:rPr>
              <w:t>der Einnahmen und Ausgaben</w:t>
            </w:r>
          </w:p>
          <w:p w:rsidR="00B17122" w:rsidRPr="004B3C9B" w:rsidRDefault="00B17122" w:rsidP="00B17122">
            <w:pPr>
              <w:pStyle w:val="Default"/>
              <w:ind w:left="349"/>
              <w:jc w:val="both"/>
              <w:rPr>
                <w:i/>
                <w:sz w:val="18"/>
                <w:szCs w:val="18"/>
              </w:rPr>
            </w:pPr>
            <w:r w:rsidRPr="004B3C9B">
              <w:rPr>
                <w:i/>
                <w:sz w:val="18"/>
                <w:szCs w:val="18"/>
              </w:rPr>
              <w:t>(Die Nachweise sind der Erklärung beizufügen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4B3C9B">
              <w:rPr>
                <w:i/>
                <w:sz w:val="18"/>
                <w:szCs w:val="18"/>
              </w:rPr>
              <w:t xml:space="preserve">Aus dem Nachweis muss </w:t>
            </w:r>
            <w:r w:rsidRPr="004B3C9B">
              <w:rPr>
                <w:i/>
                <w:sz w:val="18"/>
                <w:szCs w:val="18"/>
                <w:u w:val="single"/>
              </w:rPr>
              <w:t>erkennbar</w:t>
            </w:r>
            <w:r w:rsidRPr="004B3C9B">
              <w:rPr>
                <w:i/>
                <w:sz w:val="18"/>
                <w:szCs w:val="18"/>
              </w:rPr>
              <w:t xml:space="preserve"> hervorgehen, dass die Gesamtausgaben nicht überwiegend aus Zuwendungen bestritten werden.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B3C9B">
              <w:rPr>
                <w:i/>
                <w:sz w:val="18"/>
                <w:szCs w:val="18"/>
              </w:rPr>
              <w:t>Bei unselbständigen Untergliederungen/Organisationsteilen ist auf den jeweiligen (Gesamt-) Verein abzustellen.)</w:t>
            </w:r>
          </w:p>
          <w:p w:rsidR="00B17122" w:rsidRPr="004B3C9B" w:rsidRDefault="00B17122" w:rsidP="00B17122">
            <w:pPr>
              <w:pStyle w:val="Default"/>
              <w:rPr>
                <w:i/>
                <w:sz w:val="12"/>
                <w:szCs w:val="12"/>
              </w:rPr>
            </w:pPr>
          </w:p>
          <w:p w:rsidR="00B17122" w:rsidRDefault="00B17122" w:rsidP="00B17122">
            <w:pPr>
              <w:pStyle w:val="Default"/>
              <w:rPr>
                <w:b/>
                <w:i/>
                <w:color w:val="538135"/>
                <w:sz w:val="28"/>
                <w:szCs w:val="28"/>
              </w:rPr>
            </w:pPr>
            <w:r>
              <w:rPr>
                <w:b/>
                <w:i/>
                <w:noProof/>
                <w:color w:val="53813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89943" wp14:editId="08BC8C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222885" cy="133985"/>
                      <wp:effectExtent l="10795" t="20320" r="13970" b="266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D367" id="AutoShape 4" o:spid="_x0000_s1026" type="#_x0000_t13" style="position:absolute;margin-left:3.6pt;margin-top:1.55pt;width:17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"/>
                  </w:pict>
                </mc:Fallback>
              </mc:AlternateContent>
            </w:r>
            <w:r>
              <w:rPr>
                <w:b/>
                <w:i/>
                <w:color w:val="538135"/>
                <w:sz w:val="28"/>
                <w:szCs w:val="28"/>
              </w:rPr>
              <w:t xml:space="preserve">       </w:t>
            </w:r>
            <w:r w:rsidRPr="00CE6115">
              <w:rPr>
                <w:b/>
                <w:i/>
                <w:color w:val="538135"/>
                <w:sz w:val="28"/>
                <w:szCs w:val="28"/>
              </w:rPr>
              <w:t>Keine Anwendung des Besserstellungsverbots</w:t>
            </w:r>
          </w:p>
          <w:p w:rsidR="00B17122" w:rsidRPr="00EC18DB" w:rsidRDefault="00B17122" w:rsidP="00B17122">
            <w:pPr>
              <w:pStyle w:val="Default"/>
              <w:ind w:left="1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C18DB">
              <w:rPr>
                <w:sz w:val="16"/>
                <w:szCs w:val="16"/>
              </w:rPr>
              <w:t>us Grundsätzen der Sparsamkeit und Wirtschaftlichkeit</w:t>
            </w:r>
            <w:r>
              <w:rPr>
                <w:sz w:val="16"/>
                <w:szCs w:val="16"/>
              </w:rPr>
              <w:t xml:space="preserve"> wird</w:t>
            </w:r>
            <w:r w:rsidRPr="00EC18DB">
              <w:rPr>
                <w:sz w:val="16"/>
                <w:szCs w:val="16"/>
              </w:rPr>
              <w:t xml:space="preserve"> die Höhe der </w:t>
            </w:r>
            <w:r w:rsidRPr="00FF3974">
              <w:rPr>
                <w:sz w:val="16"/>
                <w:szCs w:val="16"/>
                <w:u w:val="single"/>
              </w:rPr>
              <w:t xml:space="preserve">zuwendungsfähigen </w:t>
            </w:r>
            <w:r w:rsidRPr="00EC18DB">
              <w:rPr>
                <w:sz w:val="16"/>
                <w:szCs w:val="16"/>
              </w:rPr>
              <w:t>Personalausgaben auf die Höhe der an vergleichbare Landesbedienstete gewährten Leistungen begrenz</w:t>
            </w:r>
            <w:r>
              <w:rPr>
                <w:sz w:val="16"/>
                <w:szCs w:val="16"/>
              </w:rPr>
              <w:t>t.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5C1101" w:rsidRDefault="00B17122" w:rsidP="00B17122">
            <w:pPr>
              <w:pStyle w:val="Default"/>
              <w:ind w:right="455"/>
              <w:jc w:val="right"/>
              <w:rPr>
                <w:color w:val="538135"/>
                <w:sz w:val="8"/>
                <w:szCs w:val="8"/>
              </w:rPr>
            </w:pPr>
          </w:p>
        </w:tc>
      </w:tr>
      <w:tr w:rsidR="00B17122" w:rsidTr="00B17122">
        <w:trPr>
          <w:trHeight w:val="1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2.2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301F6C" w:rsidRDefault="00B17122" w:rsidP="00B17122">
            <w:pPr>
              <w:pStyle w:val="Default"/>
              <w:jc w:val="both"/>
              <w:rPr>
                <w:sz w:val="8"/>
                <w:szCs w:val="8"/>
              </w:rPr>
            </w:pPr>
            <w:r w:rsidRPr="00B17122">
              <w:rPr>
                <w:sz w:val="22"/>
                <w:szCs w:val="22"/>
              </w:rPr>
              <w:t xml:space="preserve">Die (nicht nur projektbezogenen) Gesamtausgaben des Antragstellers </w:t>
            </w:r>
            <w:r w:rsidRPr="00927CC5">
              <w:rPr>
                <w:sz w:val="22"/>
                <w:szCs w:val="22"/>
              </w:rPr>
              <w:t>werden überwiegend (mehr als 50 v.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 xml:space="preserve">H.) aus Zuwendungen der öffentlichen Hand einschließlich Bund und EU bestritten </w:t>
            </w:r>
          </w:p>
          <w:p w:rsidR="00B17122" w:rsidRPr="000200B3" w:rsidRDefault="00B17122" w:rsidP="00B17122">
            <w:pPr>
              <w:pStyle w:val="Default"/>
              <w:ind w:left="174"/>
              <w:rPr>
                <w:sz w:val="8"/>
                <w:szCs w:val="8"/>
                <w:u w:val="single"/>
              </w:rPr>
            </w:pPr>
            <w:r w:rsidRPr="000200B3">
              <w:rPr>
                <w:sz w:val="22"/>
                <w:szCs w:val="22"/>
                <w:u w:val="single"/>
              </w:rPr>
              <w:t>und</w:t>
            </w: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beantragte Zuwendung, </w:t>
            </w:r>
            <w:r w:rsidRPr="00D93BCF">
              <w:rPr>
                <w:sz w:val="22"/>
                <w:szCs w:val="22"/>
              </w:rPr>
              <w:t>die durch das Land im Rahmen diese</w:t>
            </w:r>
            <w:r>
              <w:rPr>
                <w:sz w:val="22"/>
                <w:szCs w:val="22"/>
              </w:rPr>
              <w:t>r</w:t>
            </w:r>
            <w:r w:rsidRPr="00D93BCF">
              <w:rPr>
                <w:sz w:val="22"/>
                <w:szCs w:val="22"/>
              </w:rPr>
              <w:t xml:space="preserve"> Projektförderung gewährt </w:t>
            </w:r>
            <w:r>
              <w:rPr>
                <w:sz w:val="22"/>
                <w:szCs w:val="22"/>
              </w:rPr>
              <w:t>werden soll,</w:t>
            </w:r>
            <w:r w:rsidRPr="00927CC5">
              <w:rPr>
                <w:sz w:val="22"/>
                <w:szCs w:val="22"/>
              </w:rPr>
              <w:t xml:space="preserve"> betr</w:t>
            </w:r>
            <w:r>
              <w:rPr>
                <w:sz w:val="22"/>
                <w:szCs w:val="22"/>
              </w:rPr>
              <w:t>ägt mehr als 50.000 Euro.</w:t>
            </w:r>
          </w:p>
          <w:p w:rsidR="00B17122" w:rsidRPr="00D93BCF" w:rsidRDefault="00B17122" w:rsidP="00B171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 bezieht sich </w:t>
            </w:r>
            <w:r w:rsidRPr="006B75E2">
              <w:rPr>
                <w:sz w:val="16"/>
                <w:szCs w:val="16"/>
              </w:rPr>
              <w:t xml:space="preserve">nicht </w:t>
            </w:r>
            <w:r>
              <w:rPr>
                <w:sz w:val="16"/>
                <w:szCs w:val="16"/>
              </w:rPr>
              <w:t xml:space="preserve">nur </w:t>
            </w:r>
            <w:r w:rsidRPr="006B75E2">
              <w:rPr>
                <w:sz w:val="16"/>
                <w:szCs w:val="16"/>
              </w:rPr>
              <w:t>auf den reinen Landesanteil, sondern auf die Zuwendung</w:t>
            </w:r>
            <w:r>
              <w:rPr>
                <w:sz w:val="16"/>
                <w:szCs w:val="16"/>
              </w:rPr>
              <w:t xml:space="preserve"> einschließlich Bundes- und EU-Mittel</w:t>
            </w:r>
            <w:r w:rsidRPr="006B75E2">
              <w:rPr>
                <w:sz w:val="16"/>
                <w:szCs w:val="16"/>
              </w:rPr>
              <w:t xml:space="preserve">, die seitens der Landesbewilligungsbehörde für das beantragte Projekt bewilligt </w:t>
            </w:r>
            <w:r>
              <w:rPr>
                <w:sz w:val="16"/>
                <w:szCs w:val="16"/>
              </w:rPr>
              <w:t>werden soll</w:t>
            </w:r>
            <w:r w:rsidRPr="006B75E2">
              <w:rPr>
                <w:sz w:val="16"/>
                <w:szCs w:val="16"/>
              </w:rPr>
              <w:t>.</w:t>
            </w:r>
          </w:p>
          <w:p w:rsidR="00B17122" w:rsidRPr="003A3341" w:rsidRDefault="00B17122" w:rsidP="00B17122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EAA68" wp14:editId="7EBC221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222885" cy="133985"/>
                      <wp:effectExtent l="8890" t="20955" r="15875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5D7C" id="AutoShape 6" o:spid="_x0000_s1026" type="#_x0000_t13" style="position:absolute;margin-left:3.45pt;margin-top:1.35pt;width:17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"/>
                  </w:pict>
                </mc:Fallback>
              </mc:AlternateContent>
            </w:r>
            <w:r>
              <w:rPr>
                <w:b/>
                <w:i/>
                <w:color w:val="C45911"/>
                <w:sz w:val="26"/>
                <w:szCs w:val="26"/>
              </w:rPr>
              <w:t xml:space="preserve">       </w:t>
            </w:r>
            <w:r w:rsidRPr="003A3341">
              <w:rPr>
                <w:b/>
                <w:i/>
                <w:color w:val="C45911"/>
                <w:sz w:val="28"/>
                <w:szCs w:val="28"/>
              </w:rPr>
              <w:t>Das Besserstellungsverbot ist zu beachten</w:t>
            </w:r>
            <w:r w:rsidRPr="003A3341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B17122" w:rsidRPr="005C1101" w:rsidRDefault="00B17122" w:rsidP="00F64B92">
            <w:pPr>
              <w:pStyle w:val="Default"/>
              <w:ind w:right="455"/>
              <w:jc w:val="right"/>
              <w:rPr>
                <w:b/>
                <w:i/>
                <w:color w:val="auto"/>
                <w:sz w:val="8"/>
                <w:szCs w:val="8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>weiter mit Nr. 3</w:t>
            </w:r>
          </w:p>
        </w:tc>
      </w:tr>
      <w:tr w:rsidR="00B17122" w:rsidRPr="003A3341" w:rsidTr="00B17122">
        <w:trPr>
          <w:trHeight w:val="521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Pr="005C1101" w:rsidRDefault="00B17122" w:rsidP="00B17122">
            <w:pPr>
              <w:pStyle w:val="Default"/>
              <w:rPr>
                <w:b/>
                <w:sz w:val="28"/>
                <w:szCs w:val="28"/>
              </w:rPr>
            </w:pPr>
            <w:r w:rsidRPr="005C1101">
              <w:rPr>
                <w:b/>
                <w:sz w:val="28"/>
                <w:szCs w:val="28"/>
              </w:rPr>
              <w:t>3.</w:t>
            </w:r>
          </w:p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Pr="005C1101" w:rsidRDefault="00B17122" w:rsidP="00B17122">
            <w:pPr>
              <w:pStyle w:val="Default"/>
              <w:rPr>
                <w:b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2" w:rsidRPr="003A3341" w:rsidRDefault="00B17122" w:rsidP="00B17122">
            <w:pPr>
              <w:pStyle w:val="Default"/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22" w:rsidRPr="003A3341" w:rsidRDefault="00B17122" w:rsidP="00B17122">
            <w:pPr>
              <w:pStyle w:val="Default"/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b/>
                <w:sz w:val="28"/>
                <w:szCs w:val="28"/>
              </w:rPr>
            </w:pPr>
            <w:r w:rsidRPr="003A3341">
              <w:rPr>
                <w:b/>
                <w:sz w:val="28"/>
                <w:szCs w:val="28"/>
              </w:rPr>
              <w:t>Einhaltung des Besserstellungsverbots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sz w:val="18"/>
                <w:szCs w:val="18"/>
              </w:rPr>
            </w:pPr>
            <w:r w:rsidRPr="005C1101">
              <w:rPr>
                <w:sz w:val="18"/>
                <w:szCs w:val="18"/>
              </w:rPr>
              <w:t>Die Angaben beziehen sich auf die in dem Projekt unmittelbar beschäftigten Mitarbeiter/innen</w:t>
            </w:r>
          </w:p>
          <w:p w:rsidR="00B17122" w:rsidRPr="005C1101" w:rsidRDefault="00B17122" w:rsidP="00B17122">
            <w:pPr>
              <w:pStyle w:val="Default"/>
              <w:rPr>
                <w:sz w:val="4"/>
                <w:szCs w:val="4"/>
              </w:rPr>
            </w:pPr>
          </w:p>
        </w:tc>
      </w:tr>
      <w:tr w:rsidR="00B17122" w:rsidTr="00B17122">
        <w:trPr>
          <w:trHeight w:val="390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 w:rsidRPr="00B65759">
              <w:rPr>
                <w:sz w:val="28"/>
                <w:szCs w:val="28"/>
              </w:rPr>
              <w:t>Es findet der TV-L Anwendung</w:t>
            </w:r>
            <w:r w:rsidRPr="00AB3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966CEE">
              <w:rPr>
                <w:sz w:val="18"/>
                <w:szCs w:val="18"/>
              </w:rPr>
              <w:t>(</w:t>
            </w:r>
            <w:proofErr w:type="gramEnd"/>
            <w:r w:rsidRPr="00966CEE">
              <w:rPr>
                <w:sz w:val="18"/>
                <w:szCs w:val="18"/>
              </w:rPr>
              <w:t>falls nicht zutreffend</w:t>
            </w:r>
            <w:r>
              <w:rPr>
                <w:sz w:val="18"/>
                <w:szCs w:val="18"/>
              </w:rPr>
              <w:t>,</w:t>
            </w:r>
            <w:r w:rsidRPr="00966CEE">
              <w:rPr>
                <w:sz w:val="18"/>
                <w:szCs w:val="18"/>
              </w:rPr>
              <w:t xml:space="preserve"> weiter mit Nr. 3.2)</w:t>
            </w: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TV-L insgesamt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TV-L nur bezogen auf die Vergütung</w:t>
            </w:r>
          </w:p>
          <w:p w:rsidR="00B17122" w:rsidRPr="005839AD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</w:tr>
      <w:tr w:rsidR="00B17122" w:rsidTr="00B17122">
        <w:trPr>
          <w:trHeight w:val="81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</w:t>
            </w:r>
            <w:r>
              <w:rPr>
                <w:sz w:val="22"/>
                <w:szCs w:val="22"/>
              </w:rPr>
              <w:t xml:space="preserve"> und es sind keine günstigeren Arbeitsbedingungen vereinbart.</w:t>
            </w:r>
          </w:p>
          <w:p w:rsidR="00B17122" w:rsidRPr="003A3341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3A3341" w:rsidRDefault="00B17122" w:rsidP="00B17122">
            <w:pPr>
              <w:pStyle w:val="Default"/>
              <w:ind w:left="121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RPr="007648AE" w:rsidTr="00B17122">
        <w:trPr>
          <w:trHeight w:val="386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3.2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7648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AE">
              <w:instrText xml:space="preserve"> FORMCHECKBOX </w:instrText>
            </w:r>
            <w:r w:rsidR="00113339">
              <w:fldChar w:fldCharType="separate"/>
            </w:r>
            <w:r w:rsidRPr="007648AE"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7648AE" w:rsidRDefault="00B17122" w:rsidP="00B17122">
            <w:pPr>
              <w:pStyle w:val="Default"/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rPr>
                <w:sz w:val="18"/>
                <w:szCs w:val="18"/>
              </w:rPr>
            </w:pPr>
            <w:r w:rsidRPr="00B65759">
              <w:rPr>
                <w:sz w:val="28"/>
                <w:szCs w:val="28"/>
              </w:rPr>
              <w:t>Es findet der TVöD Anwendung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966CEE">
              <w:rPr>
                <w:sz w:val="18"/>
                <w:szCs w:val="18"/>
              </w:rPr>
              <w:t>(</w:t>
            </w:r>
            <w:proofErr w:type="gramEnd"/>
            <w:r w:rsidRPr="00966CEE">
              <w:rPr>
                <w:sz w:val="18"/>
                <w:szCs w:val="18"/>
              </w:rPr>
              <w:t>falls nicht zutreffend weiter mit Nr. 3.</w:t>
            </w:r>
            <w:r>
              <w:rPr>
                <w:sz w:val="18"/>
                <w:szCs w:val="18"/>
              </w:rPr>
              <w:t>3</w:t>
            </w:r>
            <w:r w:rsidRPr="00966CEE">
              <w:rPr>
                <w:sz w:val="18"/>
                <w:szCs w:val="18"/>
              </w:rPr>
              <w:t>)</w:t>
            </w:r>
          </w:p>
          <w:p w:rsidR="00B17122" w:rsidRPr="00AB3FB2" w:rsidRDefault="00B17122" w:rsidP="00B17122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TVöD insgesamt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TVöD nur bezogen auf die Vergütung</w:t>
            </w:r>
          </w:p>
          <w:p w:rsidR="00B17122" w:rsidRPr="005839AD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</w:tr>
      <w:tr w:rsidR="00B17122" w:rsidTr="00B17122">
        <w:trPr>
          <w:trHeight w:val="432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TVöD</w:t>
            </w:r>
            <w:r w:rsidRPr="00FB5322">
              <w:rPr>
                <w:sz w:val="22"/>
                <w:szCs w:val="22"/>
              </w:rPr>
              <w:t xml:space="preserve">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</w:t>
            </w:r>
            <w:r>
              <w:rPr>
                <w:sz w:val="22"/>
                <w:szCs w:val="22"/>
              </w:rPr>
              <w:t xml:space="preserve"> und es sind keine günstigeren Arbeitsbedingungen vereinbart. 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6D3382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TVöD</w:t>
            </w:r>
            <w:r w:rsidRPr="00FB5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 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Tr="00B17122">
        <w:trPr>
          <w:trHeight w:val="1506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3.3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Pr="00B65759" w:rsidRDefault="00B17122" w:rsidP="00B17122">
            <w:pPr>
              <w:pStyle w:val="Default"/>
              <w:rPr>
                <w:sz w:val="28"/>
                <w:szCs w:val="28"/>
              </w:rPr>
            </w:pPr>
            <w:r w:rsidRPr="00B65759">
              <w:rPr>
                <w:sz w:val="28"/>
                <w:szCs w:val="28"/>
              </w:rPr>
              <w:t>Es besteht eine Bindungspflicht an tarifvertragliche Regelungen gemäß § 3 Tarifvertragsgesetz (TVG)</w:t>
            </w:r>
            <w:r w:rsidRPr="00966CEE">
              <w:rPr>
                <w:sz w:val="18"/>
                <w:szCs w:val="18"/>
              </w:rPr>
              <w:t xml:space="preserve"> (falls </w:t>
            </w:r>
            <w:proofErr w:type="gramStart"/>
            <w:r w:rsidRPr="00966CEE">
              <w:rPr>
                <w:sz w:val="18"/>
                <w:szCs w:val="18"/>
              </w:rPr>
              <w:t>nicht zutreffend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966CEE">
              <w:rPr>
                <w:sz w:val="18"/>
                <w:szCs w:val="18"/>
              </w:rPr>
              <w:t xml:space="preserve"> weiter mit Nr. 3.</w:t>
            </w:r>
            <w:r>
              <w:rPr>
                <w:sz w:val="18"/>
                <w:szCs w:val="18"/>
              </w:rPr>
              <w:t>4</w:t>
            </w:r>
            <w:r w:rsidRPr="00966CEE">
              <w:rPr>
                <w:sz w:val="18"/>
                <w:szCs w:val="18"/>
              </w:rPr>
              <w:t>)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7648AE">
              <w:rPr>
                <w:b/>
                <w:i/>
                <w:sz w:val="22"/>
                <w:szCs w:val="22"/>
              </w:rPr>
              <w:t xml:space="preserve">Tarifvertrag </w:t>
            </w:r>
            <w:r>
              <w:rPr>
                <w:b/>
                <w:i/>
                <w:sz w:val="22"/>
                <w:szCs w:val="22"/>
              </w:rPr>
              <w:t xml:space="preserve">angeben:  </w:t>
            </w: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B17122" w:rsidRDefault="00B17122" w:rsidP="00B17122">
            <w:pPr>
              <w:pStyle w:val="Default"/>
              <w:ind w:left="2389"/>
              <w:rPr>
                <w:b/>
                <w:i/>
                <w:sz w:val="22"/>
                <w:szCs w:val="22"/>
              </w:rPr>
            </w:pPr>
            <w:r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Pr="003C1D15">
              <w:rPr>
                <w:sz w:val="4"/>
                <w:szCs w:val="4"/>
              </w:rPr>
              <w:t>____________________________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12"/>
                <w:szCs w:val="12"/>
              </w:rPr>
            </w:pPr>
            <w:r w:rsidRPr="007648AE">
              <w:rPr>
                <w:b/>
                <w:i/>
                <w:sz w:val="22"/>
                <w:szCs w:val="22"/>
              </w:rPr>
              <w:t xml:space="preserve">und Bindungspflicht </w:t>
            </w:r>
            <w:r>
              <w:rPr>
                <w:b/>
                <w:i/>
                <w:sz w:val="22"/>
                <w:szCs w:val="22"/>
              </w:rPr>
              <w:t xml:space="preserve">gesondert </w:t>
            </w:r>
            <w:r w:rsidRPr="007648AE">
              <w:rPr>
                <w:b/>
                <w:i/>
                <w:sz w:val="22"/>
                <w:szCs w:val="22"/>
              </w:rPr>
              <w:t>begründe</w:t>
            </w:r>
            <w:r>
              <w:rPr>
                <w:b/>
                <w:i/>
                <w:sz w:val="22"/>
                <w:szCs w:val="22"/>
              </w:rPr>
              <w:t>n.</w:t>
            </w:r>
          </w:p>
        </w:tc>
      </w:tr>
      <w:tr w:rsidR="00B17122" w:rsidTr="00B17122">
        <w:trPr>
          <w:trHeight w:val="971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verpflichtenden Tarifvertrag</w:t>
            </w:r>
            <w:r w:rsidRPr="00FB5322">
              <w:rPr>
                <w:sz w:val="22"/>
                <w:szCs w:val="22"/>
              </w:rPr>
              <w:t xml:space="preserve">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 </w:t>
            </w:r>
            <w:r>
              <w:rPr>
                <w:sz w:val="22"/>
                <w:szCs w:val="22"/>
              </w:rPr>
              <w:t xml:space="preserve">und es sind keine günstigeren Arbeitsbedingungen vereinbart. 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795735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verpflichtenden Tarifvertrag</w:t>
            </w:r>
            <w:r w:rsidRPr="00FB5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color w:val="auto"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Tr="00B17122">
        <w:trPr>
          <w:trHeight w:val="1140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3.4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Pr="00B65759" w:rsidRDefault="00B17122" w:rsidP="00B17122">
            <w:pPr>
              <w:pStyle w:val="Default"/>
              <w:rPr>
                <w:sz w:val="28"/>
                <w:szCs w:val="28"/>
              </w:rPr>
            </w:pPr>
            <w:r w:rsidRPr="00B65759">
              <w:rPr>
                <w:sz w:val="28"/>
                <w:szCs w:val="28"/>
              </w:rPr>
              <w:t>Es findet weder der TV-L, der TVöD oder ein nach § 3 TVG verpflichtender Tarifvertrag Anwendung.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 w:rsidRPr="001A546C">
              <w:rPr>
                <w:b/>
                <w:i/>
                <w:sz w:val="22"/>
                <w:szCs w:val="22"/>
              </w:rPr>
              <w:t>Tarifvertrag angeben</w:t>
            </w:r>
            <w:r>
              <w:rPr>
                <w:b/>
                <w:i/>
                <w:sz w:val="22"/>
                <w:szCs w:val="22"/>
              </w:rPr>
              <w:t xml:space="preserve"> und beifügen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</w:p>
          <w:p w:rsidR="00B17122" w:rsidRPr="003C1D15" w:rsidRDefault="00B17122" w:rsidP="00B17122">
            <w:pPr>
              <w:pStyle w:val="Default"/>
              <w:ind w:left="3666"/>
              <w:rPr>
                <w:sz w:val="4"/>
                <w:szCs w:val="4"/>
              </w:rPr>
            </w:pPr>
            <w:r w:rsidRPr="003C1D15">
              <w:rPr>
                <w:sz w:val="4"/>
                <w:szCs w:val="4"/>
              </w:rPr>
              <w:t>_______________</w:t>
            </w:r>
            <w:r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</w:t>
            </w:r>
            <w:r w:rsidRPr="003C1D15">
              <w:rPr>
                <w:sz w:val="4"/>
                <w:szCs w:val="4"/>
              </w:rPr>
              <w:t>____________________</w:t>
            </w:r>
          </w:p>
        </w:tc>
      </w:tr>
      <w:tr w:rsidR="00B17122" w:rsidTr="00B17122">
        <w:trPr>
          <w:trHeight w:val="977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396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53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3966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rPr>
                <w:sz w:val="22"/>
                <w:szCs w:val="22"/>
              </w:rPr>
            </w:pPr>
            <w:r w:rsidRPr="009A6691">
              <w:rPr>
                <w:sz w:val="22"/>
                <w:szCs w:val="22"/>
              </w:rPr>
              <w:t xml:space="preserve">Höhere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sowie sonstige über- oder außertarifliche Leistungen </w:t>
            </w:r>
            <w:r>
              <w:rPr>
                <w:sz w:val="22"/>
                <w:szCs w:val="22"/>
              </w:rPr>
              <w:t>werden</w:t>
            </w:r>
            <w:r w:rsidRPr="00FB5322">
              <w:rPr>
                <w:sz w:val="22"/>
                <w:szCs w:val="22"/>
              </w:rPr>
              <w:t xml:space="preserve"> nicht gewährt</w:t>
            </w:r>
            <w:r>
              <w:rPr>
                <w:sz w:val="22"/>
                <w:szCs w:val="22"/>
              </w:rPr>
              <w:t xml:space="preserve"> und es sind keine günstigeren Arbeitsbedingungen vereinbart. </w:t>
            </w:r>
          </w:p>
          <w:p w:rsidR="00B17122" w:rsidRPr="00995738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9A6691" w:rsidRDefault="00B17122" w:rsidP="00B17122">
            <w:pPr>
              <w:pStyle w:val="Default"/>
              <w:rPr>
                <w:sz w:val="22"/>
                <w:szCs w:val="22"/>
              </w:rPr>
            </w:pPr>
            <w:r w:rsidRPr="00396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53">
              <w:rPr>
                <w:sz w:val="22"/>
                <w:szCs w:val="22"/>
              </w:rPr>
              <w:instrText xml:space="preserve"> FORMCHECKBOX </w:instrText>
            </w:r>
            <w:r w:rsidR="00113339">
              <w:rPr>
                <w:sz w:val="22"/>
                <w:szCs w:val="22"/>
              </w:rPr>
            </w:r>
            <w:r w:rsidR="00113339">
              <w:rPr>
                <w:sz w:val="22"/>
                <w:szCs w:val="22"/>
              </w:rPr>
              <w:fldChar w:fldCharType="separate"/>
            </w:r>
            <w:r w:rsidRPr="003966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color w:val="FF0000"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RPr="00995738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ind w:left="121"/>
              <w:rPr>
                <w:sz w:val="8"/>
                <w:szCs w:val="8"/>
              </w:rPr>
            </w:pPr>
          </w:p>
        </w:tc>
      </w:tr>
    </w:tbl>
    <w:p w:rsidR="00883511" w:rsidRPr="002B12DB" w:rsidRDefault="00883511" w:rsidP="007648AE">
      <w:pPr>
        <w:pStyle w:val="Default"/>
        <w:rPr>
          <w:sz w:val="12"/>
          <w:szCs w:val="12"/>
        </w:rPr>
      </w:pPr>
    </w:p>
    <w:p w:rsidR="00883511" w:rsidRPr="005C1101" w:rsidRDefault="00995738" w:rsidP="00995738">
      <w:pPr>
        <w:pStyle w:val="Default"/>
        <w:numPr>
          <w:ilvl w:val="0"/>
          <w:numId w:val="5"/>
        </w:numPr>
        <w:ind w:hanging="1080"/>
        <w:jc w:val="both"/>
        <w:rPr>
          <w:b/>
          <w:u w:val="single"/>
        </w:rPr>
      </w:pPr>
      <w:r w:rsidRPr="005C1101">
        <w:rPr>
          <w:b/>
          <w:u w:val="single"/>
        </w:rPr>
        <w:t>Zeichnung</w:t>
      </w:r>
      <w:r w:rsidR="007944BE">
        <w:rPr>
          <w:b/>
          <w:u w:val="single"/>
        </w:rPr>
        <w:t xml:space="preserve"> /Unterschrift</w:t>
      </w:r>
    </w:p>
    <w:p w:rsidR="00966CEE" w:rsidRPr="005839AD" w:rsidRDefault="00966CEE" w:rsidP="004150D5">
      <w:pPr>
        <w:pStyle w:val="Default"/>
        <w:jc w:val="both"/>
        <w:rPr>
          <w:sz w:val="8"/>
          <w:szCs w:val="8"/>
        </w:rPr>
      </w:pPr>
    </w:p>
    <w:p w:rsidR="005C1101" w:rsidRDefault="005C1101" w:rsidP="004150D5">
      <w:pPr>
        <w:pStyle w:val="Default"/>
        <w:jc w:val="both"/>
      </w:pPr>
    </w:p>
    <w:p w:rsidR="00F431CD" w:rsidRPr="00F431CD" w:rsidRDefault="003C1D15" w:rsidP="005C11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3"/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9A362F" w:rsidRPr="00396653" w:rsidTr="00396653">
        <w:tc>
          <w:tcPr>
            <w:tcW w:w="2802" w:type="dxa"/>
            <w:tcBorders>
              <w:top w:val="thinThickSmallGap" w:sz="24" w:space="0" w:color="auto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6653">
              <w:rPr>
                <w:rFonts w:ascii="Arial" w:hAnsi="Arial" w:cs="Arial"/>
                <w:bCs/>
                <w:sz w:val="18"/>
                <w:szCs w:val="18"/>
              </w:rPr>
              <w:t>Ort, Datum</w:t>
            </w:r>
          </w:p>
        </w:tc>
      </w:tr>
    </w:tbl>
    <w:p w:rsidR="00966CEE" w:rsidRPr="009A362F" w:rsidRDefault="00966CEE" w:rsidP="009A362F">
      <w:pPr>
        <w:rPr>
          <w:rFonts w:ascii="Arial" w:hAnsi="Arial" w:cs="Arial"/>
          <w:b/>
          <w:bCs/>
        </w:rPr>
      </w:pPr>
    </w:p>
    <w:p w:rsidR="009A362F" w:rsidRDefault="003C1D15" w:rsidP="009A36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2958"/>
        <w:gridCol w:w="236"/>
        <w:gridCol w:w="3047"/>
      </w:tblGrid>
      <w:tr w:rsidR="009A362F" w:rsidRPr="003C1D15" w:rsidTr="00396653">
        <w:tc>
          <w:tcPr>
            <w:tcW w:w="29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>Name in Druckschrift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 xml:space="preserve">Rechtsverbindliche Unterschrift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6131C2" w:rsidRDefault="006131C2" w:rsidP="00966CEE">
      <w:pPr>
        <w:pStyle w:val="Default"/>
        <w:jc w:val="both"/>
        <w:rPr>
          <w:sz w:val="4"/>
          <w:szCs w:val="4"/>
        </w:rPr>
      </w:pPr>
    </w:p>
    <w:p w:rsidR="003C1D15" w:rsidRDefault="003C1D15" w:rsidP="00966CEE">
      <w:pPr>
        <w:pStyle w:val="Default"/>
        <w:jc w:val="both"/>
        <w:rPr>
          <w:sz w:val="4"/>
          <w:szCs w:val="4"/>
        </w:rPr>
      </w:pPr>
    </w:p>
    <w:p w:rsidR="003C1D15" w:rsidRDefault="003C1D15" w:rsidP="003C1D15">
      <w:pPr>
        <w:jc w:val="center"/>
        <w:rPr>
          <w:rFonts w:ascii="Arial" w:hAnsi="Arial" w:cs="Arial"/>
          <w:b/>
          <w:u w:val="single"/>
        </w:rPr>
      </w:pPr>
    </w:p>
    <w:p w:rsidR="003C1D15" w:rsidRPr="00596794" w:rsidRDefault="003C1D15" w:rsidP="003C1D1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96794">
        <w:rPr>
          <w:rFonts w:ascii="Arial" w:hAnsi="Arial" w:cs="Arial"/>
          <w:b/>
          <w:color w:val="000000"/>
          <w:sz w:val="32"/>
          <w:szCs w:val="32"/>
          <w:u w:val="single"/>
        </w:rPr>
        <w:t>Geltung des Besserstellungsverbot</w:t>
      </w:r>
      <w:r w:rsidR="00D54885">
        <w:rPr>
          <w:rFonts w:ascii="Arial" w:hAnsi="Arial" w:cs="Arial"/>
          <w:b/>
          <w:color w:val="000000"/>
          <w:sz w:val="32"/>
          <w:szCs w:val="32"/>
          <w:u w:val="single"/>
        </w:rPr>
        <w:t>es</w:t>
      </w:r>
      <w:r w:rsidRPr="0059679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in der Projektförderung</w:t>
      </w:r>
    </w:p>
    <w:p w:rsidR="003C1D15" w:rsidRPr="00596794" w:rsidRDefault="003C1D15" w:rsidP="003C1D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1D15" w:rsidRDefault="003C1D15" w:rsidP="003C1D15">
      <w:pPr>
        <w:rPr>
          <w:rFonts w:ascii="Arial" w:hAnsi="Arial" w:cs="Arial"/>
          <w:sz w:val="10"/>
          <w:szCs w:val="10"/>
        </w:rPr>
      </w:pPr>
    </w:p>
    <w:p w:rsidR="003C1D15" w:rsidRPr="00F431CD" w:rsidRDefault="003C1D15" w:rsidP="003C1D15">
      <w:pPr>
        <w:rPr>
          <w:rFonts w:ascii="Arial" w:hAnsi="Arial" w:cs="Arial"/>
          <w:sz w:val="10"/>
          <w:szCs w:val="10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 w:rsidRPr="00E073B5">
        <w:rPr>
          <w:sz w:val="22"/>
          <w:szCs w:val="22"/>
        </w:rPr>
        <w:t xml:space="preserve">Sollen aus der Zuwendung Personalausgaben oder sächliche Verwaltungsausgaben geleistet werden, dürfen nach Nr. 1.3 der Allgemeinen </w:t>
      </w:r>
      <w:r w:rsidRPr="009A6691">
        <w:rPr>
          <w:sz w:val="22"/>
          <w:szCs w:val="22"/>
        </w:rPr>
        <w:t xml:space="preserve">Nebenbestimmungen </w:t>
      </w:r>
      <w:r w:rsidR="004B2DC2" w:rsidRPr="009A6691">
        <w:rPr>
          <w:sz w:val="22"/>
          <w:szCs w:val="22"/>
        </w:rPr>
        <w:t>für Zuwendungen zur Projektförderung (ANBest-P)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und § 2 Abs.</w:t>
      </w:r>
      <w:r w:rsidR="004B2DC2">
        <w:rPr>
          <w:sz w:val="22"/>
          <w:szCs w:val="22"/>
        </w:rPr>
        <w:t xml:space="preserve"> 2 ff Haushaltsgesetz </w:t>
      </w:r>
      <w:r w:rsidR="00B8759A">
        <w:rPr>
          <w:sz w:val="22"/>
          <w:szCs w:val="22"/>
        </w:rPr>
        <w:t xml:space="preserve">LSA </w:t>
      </w:r>
      <w:r>
        <w:rPr>
          <w:sz w:val="22"/>
          <w:szCs w:val="22"/>
        </w:rPr>
        <w:t xml:space="preserve">die </w:t>
      </w:r>
      <w:r w:rsidRPr="009A6691">
        <w:rPr>
          <w:sz w:val="22"/>
          <w:szCs w:val="22"/>
        </w:rPr>
        <w:t>Beschäftigte</w:t>
      </w:r>
      <w:r>
        <w:rPr>
          <w:sz w:val="22"/>
          <w:szCs w:val="22"/>
        </w:rPr>
        <w:t>n</w:t>
      </w:r>
      <w:r w:rsidRPr="009A6691">
        <w:rPr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 w:rsidRPr="009A6691">
        <w:rPr>
          <w:sz w:val="22"/>
          <w:szCs w:val="22"/>
        </w:rPr>
        <w:t xml:space="preserve"> Zuwendungsempfänger</w:t>
      </w:r>
      <w:r>
        <w:rPr>
          <w:sz w:val="22"/>
          <w:szCs w:val="22"/>
        </w:rPr>
        <w:t>s</w:t>
      </w:r>
      <w:r w:rsidRPr="009A6691">
        <w:rPr>
          <w:sz w:val="22"/>
          <w:szCs w:val="22"/>
        </w:rPr>
        <w:t xml:space="preserve"> nicht bessergestellt werden als vergleichbare Landesbedienstete. Höhere Entgelte als </w:t>
      </w:r>
      <w:r w:rsidRPr="00FB5322">
        <w:rPr>
          <w:sz w:val="22"/>
          <w:szCs w:val="22"/>
        </w:rPr>
        <w:t>nach dem Tarifvertrag</w:t>
      </w:r>
      <w:r>
        <w:rPr>
          <w:sz w:val="22"/>
          <w:szCs w:val="22"/>
        </w:rPr>
        <w:t xml:space="preserve"> </w:t>
      </w:r>
      <w:r w:rsidRPr="00FB5322">
        <w:rPr>
          <w:sz w:val="22"/>
          <w:szCs w:val="22"/>
        </w:rPr>
        <w:t>für den öffentlichen Dienst der Länder</w:t>
      </w:r>
      <w:r>
        <w:rPr>
          <w:sz w:val="22"/>
          <w:szCs w:val="22"/>
        </w:rPr>
        <w:t xml:space="preserve"> </w:t>
      </w:r>
      <w:r w:rsidRPr="00FB5322">
        <w:rPr>
          <w:sz w:val="22"/>
          <w:szCs w:val="22"/>
        </w:rPr>
        <w:t xml:space="preserve">(TV-L) sowie sonstige über- oder außertarifliche Leistungen dürfen nicht gewährt werden. </w:t>
      </w:r>
      <w:r w:rsidRPr="009978D0">
        <w:rPr>
          <w:sz w:val="22"/>
          <w:szCs w:val="22"/>
        </w:rPr>
        <w:t>Die Anwendung des TVöD wird als gleichwertig anerkannt.</w:t>
      </w:r>
      <w:r w:rsidR="004B2DC2">
        <w:rPr>
          <w:sz w:val="22"/>
          <w:szCs w:val="22"/>
        </w:rPr>
        <w:t xml:space="preserve"> </w:t>
      </w:r>
      <w:r w:rsidRPr="009978D0">
        <w:rPr>
          <w:sz w:val="22"/>
          <w:szCs w:val="22"/>
        </w:rPr>
        <w:t>Die Anwendung abweichender tarifvertraglicher Regelungen, zu deren Einhaltung der Zuwendungsempfänger</w:t>
      </w:r>
      <w:r>
        <w:rPr>
          <w:sz w:val="22"/>
          <w:szCs w:val="22"/>
        </w:rPr>
        <w:t xml:space="preserve"> nach § 3 Tarifvertragsgesetz </w:t>
      </w:r>
      <w:r w:rsidRPr="009978D0">
        <w:rPr>
          <w:sz w:val="22"/>
          <w:szCs w:val="22"/>
        </w:rPr>
        <w:t>verpflichtet ist, wird nicht als Verstoß gegen das Besserstellungsverbot gewertet.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Darüber hinaus</w:t>
      </w:r>
      <w:r w:rsidRPr="009978D0">
        <w:rPr>
          <w:sz w:val="22"/>
          <w:szCs w:val="22"/>
        </w:rPr>
        <w:t xml:space="preserve"> dürfen </w:t>
      </w:r>
      <w:r>
        <w:rPr>
          <w:sz w:val="22"/>
          <w:szCs w:val="22"/>
        </w:rPr>
        <w:t xml:space="preserve">jedoch </w:t>
      </w:r>
      <w:r w:rsidRPr="009978D0">
        <w:rPr>
          <w:sz w:val="22"/>
          <w:szCs w:val="22"/>
        </w:rPr>
        <w:t>keine günstigeren Arbeitsbedingungen vereinbart werden, als sie für vergleichbare Arbeitnehmer des Landes jeweils vorgesehen sind</w:t>
      </w:r>
      <w:r>
        <w:rPr>
          <w:sz w:val="22"/>
          <w:szCs w:val="22"/>
        </w:rPr>
        <w:t>.</w:t>
      </w:r>
    </w:p>
    <w:p w:rsidR="003C1D15" w:rsidRDefault="003C1D15" w:rsidP="003C1D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Auf die nachfolgenden Erläuterungen zum Besserstellungsverbot wird hingewiesen.</w:t>
      </w:r>
    </w:p>
    <w:p w:rsidR="003C1D15" w:rsidRDefault="003C1D15" w:rsidP="003C1D15">
      <w:pPr>
        <w:pStyle w:val="Default"/>
        <w:spacing w:line="360" w:lineRule="auto"/>
        <w:rPr>
          <w:sz w:val="22"/>
          <w:szCs w:val="22"/>
        </w:rPr>
      </w:pPr>
    </w:p>
    <w:p w:rsidR="003C1D15" w:rsidRPr="00D739D9" w:rsidRDefault="003C1D15" w:rsidP="003C1D15">
      <w:pPr>
        <w:pStyle w:val="Default"/>
        <w:rPr>
          <w:b/>
          <w:sz w:val="22"/>
          <w:szCs w:val="22"/>
          <w:u w:val="single"/>
        </w:rPr>
      </w:pPr>
      <w:r w:rsidRPr="00D739D9">
        <w:rPr>
          <w:b/>
          <w:sz w:val="22"/>
          <w:szCs w:val="22"/>
          <w:u w:val="single"/>
        </w:rPr>
        <w:t xml:space="preserve">Voraussetzung für die Anwendbarkeit des Besserstellungsverbotes in der Projektförderung ist, </w:t>
      </w:r>
    </w:p>
    <w:p w:rsidR="003C1D15" w:rsidRPr="00EE6945" w:rsidRDefault="003C1D15" w:rsidP="003C1D15">
      <w:pPr>
        <w:pStyle w:val="Default"/>
        <w:rPr>
          <w:sz w:val="16"/>
          <w:szCs w:val="16"/>
        </w:rPr>
      </w:pPr>
    </w:p>
    <w:p w:rsidR="003C1D15" w:rsidRDefault="003C1D15" w:rsidP="004B2DC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6691">
        <w:rPr>
          <w:sz w:val="22"/>
          <w:szCs w:val="22"/>
        </w:rPr>
        <w:t xml:space="preserve">dass </w:t>
      </w:r>
      <w:r w:rsidRPr="008A47C6">
        <w:rPr>
          <w:sz w:val="22"/>
          <w:szCs w:val="22"/>
        </w:rPr>
        <w:t xml:space="preserve">die </w:t>
      </w:r>
      <w:r w:rsidRPr="008A47C6">
        <w:rPr>
          <w:b/>
          <w:bCs/>
          <w:sz w:val="22"/>
          <w:szCs w:val="22"/>
        </w:rPr>
        <w:t>nicht nur projektbezogenen</w:t>
      </w:r>
      <w:r w:rsidRPr="009A6691">
        <w:rPr>
          <w:sz w:val="22"/>
          <w:szCs w:val="22"/>
        </w:rPr>
        <w:t xml:space="preserve"> Gesamtausgaben </w:t>
      </w:r>
      <w:r>
        <w:rPr>
          <w:sz w:val="22"/>
          <w:szCs w:val="22"/>
        </w:rPr>
        <w:t xml:space="preserve">(sämtliche Ausgaben) </w:t>
      </w:r>
      <w:r w:rsidRPr="009A6691">
        <w:rPr>
          <w:sz w:val="22"/>
          <w:szCs w:val="22"/>
        </w:rPr>
        <w:t xml:space="preserve">des Zuwendungsempfängers überwiegend aus </w:t>
      </w:r>
      <w:r>
        <w:rPr>
          <w:sz w:val="22"/>
          <w:szCs w:val="22"/>
        </w:rPr>
        <w:t>Zuwendungen der öffentlichen Hand einschließlich der Europäischen Union finanziert werden</w:t>
      </w:r>
      <w:r w:rsidRPr="009A6691">
        <w:rPr>
          <w:sz w:val="22"/>
          <w:szCs w:val="22"/>
        </w:rPr>
        <w:t xml:space="preserve">. </w:t>
      </w:r>
    </w:p>
    <w:p w:rsidR="003C1D15" w:rsidRDefault="003C1D15" w:rsidP="003C1D15">
      <w:pPr>
        <w:pStyle w:val="Default"/>
        <w:rPr>
          <w:sz w:val="8"/>
          <w:szCs w:val="8"/>
        </w:rPr>
      </w:pPr>
    </w:p>
    <w:p w:rsidR="003C1D15" w:rsidRPr="009978D0" w:rsidRDefault="003C1D15" w:rsidP="004B2DC2">
      <w:pPr>
        <w:pStyle w:val="Default"/>
        <w:ind w:left="3402" w:hanging="2693"/>
        <w:jc w:val="both"/>
        <w:rPr>
          <w:sz w:val="18"/>
          <w:szCs w:val="18"/>
        </w:rPr>
      </w:pPr>
      <w:r w:rsidRPr="009978D0">
        <w:rPr>
          <w:b/>
          <w:bCs/>
          <w:sz w:val="18"/>
          <w:szCs w:val="18"/>
        </w:rPr>
        <w:t xml:space="preserve">Zuwendungen </w:t>
      </w:r>
      <w:r w:rsidRPr="009978D0">
        <w:rPr>
          <w:sz w:val="18"/>
          <w:szCs w:val="18"/>
        </w:rPr>
        <w:t>=</w:t>
      </w:r>
      <w:r w:rsidRPr="009978D0">
        <w:rPr>
          <w:sz w:val="18"/>
          <w:szCs w:val="18"/>
        </w:rPr>
        <w:tab/>
        <w:t>Mittel der öffentlichen Hand, auf die der Zuwendungsempfänger keinen Rechtsanspruch hat. bzw. die nicht auf der Grundlage privatrechtlicher Verträge geleistet werden</w:t>
      </w:r>
    </w:p>
    <w:p w:rsidR="003C1D15" w:rsidRPr="009978D0" w:rsidRDefault="003C1D15" w:rsidP="003C1D15">
      <w:pPr>
        <w:pStyle w:val="Default"/>
        <w:ind w:left="3402" w:hanging="2693"/>
        <w:rPr>
          <w:sz w:val="8"/>
          <w:szCs w:val="8"/>
        </w:rPr>
      </w:pPr>
    </w:p>
    <w:p w:rsidR="003C1D15" w:rsidRPr="009978D0" w:rsidRDefault="003C1D15" w:rsidP="004B2DC2">
      <w:pPr>
        <w:pStyle w:val="Default"/>
        <w:ind w:left="3402" w:hanging="2693"/>
        <w:jc w:val="both"/>
        <w:rPr>
          <w:sz w:val="18"/>
          <w:szCs w:val="18"/>
        </w:rPr>
      </w:pPr>
      <w:r w:rsidRPr="009978D0">
        <w:rPr>
          <w:b/>
          <w:bCs/>
          <w:sz w:val="18"/>
          <w:szCs w:val="18"/>
        </w:rPr>
        <w:t xml:space="preserve">Öffentliche Hand </w:t>
      </w:r>
      <w:r w:rsidRPr="009978D0">
        <w:rPr>
          <w:bCs/>
          <w:sz w:val="18"/>
          <w:szCs w:val="18"/>
        </w:rPr>
        <w:t>=</w:t>
      </w:r>
      <w:r w:rsidRPr="009978D0">
        <w:rPr>
          <w:bCs/>
          <w:sz w:val="18"/>
          <w:szCs w:val="18"/>
        </w:rPr>
        <w:tab/>
      </w:r>
      <w:r w:rsidRPr="009978D0">
        <w:rPr>
          <w:sz w:val="18"/>
          <w:szCs w:val="18"/>
        </w:rPr>
        <w:t>alle juristische Personen des öffentlichen Rechts, insbesondere staatliche und kommunale Gebietskörperschaften einschließlich Bund. Zusätzlich die Europäische Union</w:t>
      </w:r>
    </w:p>
    <w:p w:rsidR="003C1D15" w:rsidRPr="009978D0" w:rsidRDefault="003C1D15" w:rsidP="003C1D15">
      <w:pPr>
        <w:pStyle w:val="Default"/>
        <w:ind w:left="3402" w:hanging="2693"/>
        <w:rPr>
          <w:sz w:val="18"/>
          <w:szCs w:val="18"/>
        </w:rPr>
      </w:pPr>
    </w:p>
    <w:p w:rsidR="004B2DC2" w:rsidRDefault="004B2DC2" w:rsidP="004B2DC2">
      <w:pPr>
        <w:pStyle w:val="Default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C1D15" w:rsidRPr="00D739D9">
        <w:rPr>
          <w:b/>
          <w:sz w:val="28"/>
          <w:szCs w:val="28"/>
        </w:rPr>
        <w:t>nd</w:t>
      </w:r>
    </w:p>
    <w:p w:rsidR="004B2DC2" w:rsidRPr="004B2DC2" w:rsidRDefault="004B2DC2" w:rsidP="004B2DC2">
      <w:pPr>
        <w:pStyle w:val="Default"/>
        <w:spacing w:line="276" w:lineRule="auto"/>
        <w:ind w:left="720"/>
        <w:rPr>
          <w:sz w:val="22"/>
          <w:szCs w:val="22"/>
        </w:rPr>
      </w:pPr>
    </w:p>
    <w:p w:rsidR="003C1D15" w:rsidRDefault="003C1D15" w:rsidP="004B2DC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9D9">
        <w:rPr>
          <w:sz w:val="22"/>
          <w:szCs w:val="22"/>
        </w:rPr>
        <w:t>die Zuwendung</w:t>
      </w:r>
      <w:r>
        <w:rPr>
          <w:sz w:val="22"/>
          <w:szCs w:val="22"/>
        </w:rPr>
        <w:t>,</w:t>
      </w:r>
      <w:r w:rsidRPr="00D739D9">
        <w:rPr>
          <w:sz w:val="22"/>
          <w:szCs w:val="22"/>
        </w:rPr>
        <w:t xml:space="preserve"> die durch das Land im Rahmen diese</w:t>
      </w:r>
      <w:r>
        <w:rPr>
          <w:sz w:val="22"/>
          <w:szCs w:val="22"/>
        </w:rPr>
        <w:t>r</w:t>
      </w:r>
      <w:r w:rsidRPr="00D739D9">
        <w:rPr>
          <w:sz w:val="22"/>
          <w:szCs w:val="22"/>
        </w:rPr>
        <w:t xml:space="preserve"> Projektförderung an den Zuwendungsempfänger gewährt wird, mehr als 50.000 Euro beträgt. Die „Zuwendung des Landes“ schließt allerdings darin enthaltene Anteile anderer Mittelgeber (</w:t>
      </w:r>
      <w:r>
        <w:rPr>
          <w:sz w:val="22"/>
          <w:szCs w:val="22"/>
        </w:rPr>
        <w:t>z.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B. </w:t>
      </w:r>
      <w:r w:rsidRPr="00D739D9">
        <w:rPr>
          <w:sz w:val="22"/>
          <w:szCs w:val="22"/>
        </w:rPr>
        <w:t xml:space="preserve">Bund, EU) ein. Sie bezieht sich nicht auf den reinen Landesanteil, sondern auf die Zuwendung, die seitens der </w:t>
      </w:r>
      <w:r>
        <w:rPr>
          <w:sz w:val="22"/>
          <w:szCs w:val="22"/>
        </w:rPr>
        <w:t>„</w:t>
      </w:r>
      <w:r w:rsidRPr="00D739D9">
        <w:rPr>
          <w:sz w:val="22"/>
          <w:szCs w:val="22"/>
        </w:rPr>
        <w:t>Landesbewilligungsbehörde</w:t>
      </w:r>
      <w:r>
        <w:rPr>
          <w:sz w:val="22"/>
          <w:szCs w:val="22"/>
        </w:rPr>
        <w:t>“</w:t>
      </w:r>
      <w:r w:rsidRPr="00D739D9">
        <w:rPr>
          <w:sz w:val="22"/>
          <w:szCs w:val="22"/>
        </w:rPr>
        <w:t xml:space="preserve"> für das beantragte Projekt bewilligt wird.</w:t>
      </w:r>
    </w:p>
    <w:p w:rsidR="003C1D15" w:rsidRPr="00596794" w:rsidRDefault="003C1D15" w:rsidP="003C1D15">
      <w:pPr>
        <w:pStyle w:val="Default"/>
        <w:rPr>
          <w:sz w:val="16"/>
          <w:szCs w:val="16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 w:rsidRPr="008A47C6">
        <w:rPr>
          <w:sz w:val="22"/>
          <w:szCs w:val="22"/>
        </w:rPr>
        <w:t>Be</w:t>
      </w:r>
      <w:r w:rsidRPr="00EE6945">
        <w:rPr>
          <w:sz w:val="22"/>
          <w:szCs w:val="22"/>
        </w:rPr>
        <w:t xml:space="preserve">i </w:t>
      </w:r>
      <w:r w:rsidRPr="00EE6945">
        <w:rPr>
          <w:bCs/>
          <w:sz w:val="22"/>
          <w:szCs w:val="22"/>
        </w:rPr>
        <w:t xml:space="preserve">Zuwendungen zur </w:t>
      </w:r>
      <w:r w:rsidRPr="00EE6945">
        <w:rPr>
          <w:sz w:val="22"/>
          <w:szCs w:val="22"/>
        </w:rPr>
        <w:t>Projektfö</w:t>
      </w:r>
      <w:r w:rsidRPr="008A47C6">
        <w:rPr>
          <w:sz w:val="22"/>
          <w:szCs w:val="22"/>
        </w:rPr>
        <w:t>rderung wird das Besserstellungsverbot</w:t>
      </w:r>
      <w:r>
        <w:rPr>
          <w:sz w:val="22"/>
          <w:szCs w:val="22"/>
        </w:rPr>
        <w:t xml:space="preserve"> </w:t>
      </w:r>
      <w:r w:rsidRPr="008A47C6">
        <w:rPr>
          <w:sz w:val="22"/>
          <w:szCs w:val="22"/>
        </w:rPr>
        <w:t>nur auf die in dem Projekt unmittelbar beschäftigten</w:t>
      </w:r>
      <w:r>
        <w:rPr>
          <w:sz w:val="22"/>
          <w:szCs w:val="22"/>
        </w:rPr>
        <w:t xml:space="preserve"> </w:t>
      </w:r>
      <w:r w:rsidRPr="008A47C6">
        <w:rPr>
          <w:sz w:val="22"/>
          <w:szCs w:val="22"/>
        </w:rPr>
        <w:t>Mitarbeiter</w:t>
      </w:r>
      <w:r>
        <w:rPr>
          <w:sz w:val="22"/>
          <w:szCs w:val="22"/>
        </w:rPr>
        <w:t>/innen</w:t>
      </w:r>
      <w:r w:rsidRPr="008A47C6">
        <w:rPr>
          <w:sz w:val="22"/>
          <w:szCs w:val="22"/>
        </w:rPr>
        <w:t xml:space="preserve"> angewendet.</w:t>
      </w:r>
      <w:r w:rsidR="004B2DC2">
        <w:rPr>
          <w:sz w:val="22"/>
          <w:szCs w:val="22"/>
        </w:rPr>
        <w:t xml:space="preserve"> </w:t>
      </w:r>
      <w:r w:rsidRPr="00EE6945">
        <w:rPr>
          <w:sz w:val="22"/>
          <w:szCs w:val="22"/>
        </w:rPr>
        <w:t xml:space="preserve">Bei </w:t>
      </w:r>
      <w:r>
        <w:rPr>
          <w:sz w:val="22"/>
          <w:szCs w:val="22"/>
        </w:rPr>
        <w:t>zu beachtendem</w:t>
      </w:r>
      <w:r w:rsidRPr="00EE6945">
        <w:rPr>
          <w:sz w:val="22"/>
          <w:szCs w:val="22"/>
        </w:rPr>
        <w:t xml:space="preserve"> Besserstellungsverbot führt die Verletzung grundsätzlich zur Versagung der Förderung.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Eine Verletzung des Besserstellungsverbots kann zu Widerruf und Rückforderung der Zuwendung führen.</w:t>
      </w:r>
      <w:r w:rsidRPr="00627EAD">
        <w:rPr>
          <w:sz w:val="22"/>
          <w:szCs w:val="22"/>
        </w:rPr>
        <w:t xml:space="preserve"> </w:t>
      </w:r>
      <w:r>
        <w:rPr>
          <w:sz w:val="22"/>
          <w:szCs w:val="22"/>
        </w:rPr>
        <w:t>In begründeten Fällen kann das Ministerium der Finanzen Ausnahmen bezüglich des Besserstellungsverbots zulassen.</w:t>
      </w:r>
    </w:p>
    <w:p w:rsidR="003C1D15" w:rsidRDefault="003C1D15" w:rsidP="003C1D15">
      <w:pPr>
        <w:pStyle w:val="Default"/>
        <w:spacing w:line="360" w:lineRule="auto"/>
        <w:rPr>
          <w:sz w:val="22"/>
          <w:szCs w:val="22"/>
        </w:rPr>
      </w:pPr>
    </w:p>
    <w:p w:rsidR="003C1D15" w:rsidRPr="00D61B4D" w:rsidRDefault="003C1D15" w:rsidP="003C1D15">
      <w:pPr>
        <w:pStyle w:val="Default"/>
        <w:rPr>
          <w:b/>
          <w:sz w:val="22"/>
          <w:szCs w:val="22"/>
          <w:u w:val="single"/>
        </w:rPr>
      </w:pPr>
      <w:r w:rsidRPr="00D61B4D">
        <w:rPr>
          <w:b/>
          <w:sz w:val="22"/>
          <w:szCs w:val="22"/>
          <w:u w:val="single"/>
        </w:rPr>
        <w:t xml:space="preserve">Zuwendungsfähige Personalausgaben bei </w:t>
      </w:r>
      <w:r>
        <w:rPr>
          <w:b/>
          <w:sz w:val="22"/>
          <w:szCs w:val="22"/>
          <w:u w:val="single"/>
        </w:rPr>
        <w:t>Nichtgeltung</w:t>
      </w:r>
      <w:r w:rsidRPr="00D61B4D">
        <w:rPr>
          <w:b/>
          <w:sz w:val="22"/>
          <w:szCs w:val="22"/>
          <w:u w:val="single"/>
        </w:rPr>
        <w:t xml:space="preserve"> des Besserstellungsverbots</w:t>
      </w:r>
    </w:p>
    <w:p w:rsidR="003C1D15" w:rsidRPr="002B12DB" w:rsidRDefault="003C1D15" w:rsidP="003B6DE6">
      <w:pPr>
        <w:pStyle w:val="Default"/>
        <w:rPr>
          <w:sz w:val="12"/>
          <w:szCs w:val="12"/>
        </w:rPr>
      </w:pPr>
    </w:p>
    <w:p w:rsidR="003C1D15" w:rsidRDefault="003C1D15" w:rsidP="004B2D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Findet das Besserstellungsverbot keine Anwendung, ist aus Grundsätzen der Sparsamkeit und Wirtschaftlichkeit</w:t>
      </w:r>
      <w:r w:rsidRPr="00627E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627EAD">
        <w:rPr>
          <w:rFonts w:ascii="Arial" w:hAnsi="Arial" w:cs="Arial"/>
          <w:color w:val="000000"/>
          <w:sz w:val="22"/>
          <w:szCs w:val="22"/>
        </w:rPr>
        <w:t>ie Höhe der zuwendungsfähigen Personalausgaben auf die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EAD">
        <w:rPr>
          <w:rFonts w:ascii="Arial" w:hAnsi="Arial" w:cs="Arial"/>
          <w:color w:val="000000"/>
          <w:sz w:val="22"/>
          <w:szCs w:val="22"/>
        </w:rPr>
        <w:t>Höhe der an vergleichbare Landesbedienstete gewährten Leistungen zu begrenzen</w:t>
      </w:r>
      <w:r w:rsidRPr="00627EAD">
        <w:rPr>
          <w:rFonts w:ascii="Arial" w:hAnsi="Arial" w:cs="Arial"/>
          <w:sz w:val="22"/>
          <w:szCs w:val="22"/>
        </w:rPr>
        <w:t>.</w:t>
      </w:r>
      <w:r w:rsidR="004B2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Besserstellung durch den Zuwendungsempfänger wird somit bei der Höhe der Zuwendung nicht berücksichtigt, jedoch bei Nichtanwendbarkeit des Besserstellungsverbots toleriert.</w:t>
      </w:r>
    </w:p>
    <w:p w:rsidR="004B2DC2" w:rsidRDefault="004B2DC2" w:rsidP="004B2D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DE6" w:rsidRPr="00D61B4D" w:rsidRDefault="003B6DE6" w:rsidP="003B6DE6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Besserstellungsverbot in der jeweiligen Projektförderung</w:t>
      </w:r>
    </w:p>
    <w:p w:rsidR="003B6DE6" w:rsidRPr="002B12DB" w:rsidRDefault="003B6DE6" w:rsidP="003C1D15">
      <w:pPr>
        <w:autoSpaceDE w:val="0"/>
        <w:autoSpaceDN w:val="0"/>
        <w:adjustRightInd w:val="0"/>
        <w:spacing w:line="276" w:lineRule="auto"/>
        <w:rPr>
          <w:sz w:val="12"/>
          <w:szCs w:val="12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Eine Entscheidung zur </w:t>
      </w:r>
      <w:r w:rsidR="003B6DE6">
        <w:rPr>
          <w:sz w:val="22"/>
          <w:szCs w:val="22"/>
        </w:rPr>
        <w:t>Anwendung</w:t>
      </w:r>
      <w:r>
        <w:rPr>
          <w:sz w:val="22"/>
          <w:szCs w:val="22"/>
        </w:rPr>
        <w:t xml:space="preserve"> des Besserstellungsverbots</w:t>
      </w:r>
      <w:r w:rsidR="004B2DC2">
        <w:rPr>
          <w:sz w:val="22"/>
          <w:szCs w:val="22"/>
        </w:rPr>
        <w:t xml:space="preserve"> bezieht sich lediglich auf die </w:t>
      </w:r>
      <w:r>
        <w:rPr>
          <w:sz w:val="22"/>
          <w:szCs w:val="22"/>
        </w:rPr>
        <w:t xml:space="preserve">beantragte Projektförderung und kann </w:t>
      </w:r>
      <w:r w:rsidR="003B6DE6">
        <w:rPr>
          <w:sz w:val="22"/>
          <w:szCs w:val="22"/>
        </w:rPr>
        <w:t xml:space="preserve">grundsätzlich </w:t>
      </w:r>
      <w:r>
        <w:rPr>
          <w:sz w:val="22"/>
          <w:szCs w:val="22"/>
        </w:rPr>
        <w:t xml:space="preserve">nicht auf andere Förderungen </w:t>
      </w:r>
      <w:r w:rsidR="003B6DE6">
        <w:rPr>
          <w:sz w:val="22"/>
          <w:szCs w:val="22"/>
        </w:rPr>
        <w:t>übertragen</w:t>
      </w:r>
      <w:r>
        <w:rPr>
          <w:sz w:val="22"/>
          <w:szCs w:val="22"/>
        </w:rPr>
        <w:t xml:space="preserve"> werden.</w:t>
      </w:r>
    </w:p>
    <w:p w:rsidR="003C1D15" w:rsidRPr="00596794" w:rsidRDefault="003C1D15" w:rsidP="003C1D15">
      <w:pPr>
        <w:pStyle w:val="Default"/>
        <w:jc w:val="center"/>
        <w:rPr>
          <w:b/>
          <w:sz w:val="32"/>
          <w:szCs w:val="32"/>
          <w:u w:val="single"/>
        </w:rPr>
      </w:pPr>
      <w:r w:rsidRPr="00596794">
        <w:rPr>
          <w:b/>
          <w:sz w:val="32"/>
          <w:szCs w:val="32"/>
          <w:u w:val="single"/>
        </w:rPr>
        <w:lastRenderedPageBreak/>
        <w:t xml:space="preserve">Umfang </w:t>
      </w:r>
      <w:proofErr w:type="gramStart"/>
      <w:r w:rsidRPr="00596794">
        <w:rPr>
          <w:b/>
          <w:sz w:val="32"/>
          <w:szCs w:val="32"/>
          <w:u w:val="single"/>
        </w:rPr>
        <w:t>des Besserstellungsverbot</w:t>
      </w:r>
      <w:proofErr w:type="gramEnd"/>
    </w:p>
    <w:p w:rsidR="003C1D15" w:rsidRDefault="003C1D15" w:rsidP="003C1D15">
      <w:pPr>
        <w:pStyle w:val="Default"/>
        <w:jc w:val="both"/>
      </w:pPr>
    </w:p>
    <w:p w:rsidR="003C1D15" w:rsidRDefault="003C1D15" w:rsidP="003C1D15">
      <w:pPr>
        <w:pStyle w:val="Default"/>
        <w:jc w:val="both"/>
      </w:pPr>
    </w:p>
    <w:p w:rsidR="003C1D15" w:rsidRDefault="003C1D15" w:rsidP="003C1D15">
      <w:pPr>
        <w:pStyle w:val="Default"/>
        <w:jc w:val="both"/>
      </w:pPr>
      <w:r>
        <w:t xml:space="preserve">Im Rahmen des Besserstellungsverbots sind insbesondere zu berücksichtigen: </w:t>
      </w:r>
    </w:p>
    <w:p w:rsidR="003C1D15" w:rsidRDefault="003C1D15" w:rsidP="003C1D15">
      <w:pPr>
        <w:pStyle w:val="Default"/>
        <w:jc w:val="both"/>
      </w:pPr>
    </w:p>
    <w:p w:rsidR="003C1D15" w:rsidRPr="00C0776C" w:rsidRDefault="003C1D15" w:rsidP="003C1D15">
      <w:pPr>
        <w:pStyle w:val="Default"/>
        <w:rPr>
          <w:sz w:val="28"/>
          <w:szCs w:val="28"/>
        </w:rPr>
      </w:pPr>
      <w:r w:rsidRPr="00C0776C">
        <w:rPr>
          <w:sz w:val="28"/>
          <w:szCs w:val="28"/>
        </w:rPr>
        <w:t>1. Entgelte für Arbeitnehmer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 xml:space="preserve">keine höheren und keine </w:t>
      </w:r>
      <w:r>
        <w:rPr>
          <w:sz w:val="22"/>
          <w:szCs w:val="22"/>
        </w:rPr>
        <w:t>z</w:t>
      </w:r>
      <w:r w:rsidRPr="00C0776C">
        <w:rPr>
          <w:sz w:val="22"/>
          <w:szCs w:val="22"/>
        </w:rPr>
        <w:t>usätzlichen Zahlungen</w:t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  <w:t>keine höherwertige Eingruppierung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höhere Stufenbemessung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übertariflichen Zulagen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Entschädigung für geteilte Dienste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851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8"/>
          <w:szCs w:val="28"/>
        </w:rPr>
        <w:t>2. Sonstige Personalausgaben und personalbezogene Sachausgaben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firstLine="708"/>
        <w:rPr>
          <w:sz w:val="22"/>
          <w:szCs w:val="22"/>
        </w:rPr>
      </w:pPr>
      <w:r w:rsidRPr="00C0776C">
        <w:rPr>
          <w:sz w:val="22"/>
          <w:szCs w:val="22"/>
        </w:rPr>
        <w:t>insbesondere</w:t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Aufwandentschädigungen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Essengeldzuschüsse</w:t>
      </w:r>
      <w:r w:rsidRPr="00C0776C">
        <w:rPr>
          <w:sz w:val="22"/>
          <w:szCs w:val="22"/>
        </w:rPr>
        <w:tab/>
      </w:r>
    </w:p>
    <w:p w:rsidR="003C1D15" w:rsidRPr="00E618E2" w:rsidRDefault="003C1D15" w:rsidP="003C1D15">
      <w:pPr>
        <w:pStyle w:val="Default"/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Fahrtkostenerstattung als Trennungsgeld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Abs. 4 TV-L bzw. § 44 Abs. 1 TVöD, Trennungsgeldverordnung und Landesregelung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Gehaltsvorschüsse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Vorschussrichtlinie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E618E2">
        <w:rPr>
          <w:sz w:val="22"/>
          <w:szCs w:val="22"/>
        </w:rPr>
        <w:t>Jubiläumszuwendungen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Abs. 2 TV-L bzw. § 23 Abs. 2 TVöD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Reisekostenvergütung</w:t>
      </w:r>
      <w:r w:rsidRPr="00C0776C">
        <w:rPr>
          <w:sz w:val="22"/>
          <w:szCs w:val="22"/>
        </w:rPr>
        <w:br/>
      </w:r>
      <w:r w:rsidRPr="00C0776C">
        <w:rPr>
          <w:sz w:val="16"/>
          <w:szCs w:val="16"/>
        </w:rPr>
        <w:t>§ 23 Abs. 4 TV-L bzw. § 44 Abs. 1 TVöD, Bundesreisekostengesetz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>
        <w:rPr>
          <w:sz w:val="22"/>
          <w:szCs w:val="22"/>
        </w:rPr>
        <w:t>Sterbegeld</w:t>
      </w:r>
      <w:r>
        <w:rPr>
          <w:sz w:val="22"/>
          <w:szCs w:val="22"/>
        </w:rPr>
        <w:br/>
      </w:r>
      <w:r>
        <w:rPr>
          <w:sz w:val="16"/>
          <w:szCs w:val="16"/>
        </w:rPr>
        <w:t>§ 23 Abs. 3 TV-L bzw. § 23 Abs. 3 TVöD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Trennungsgeld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TV-L bzw. § 44 Abs. 3 TVöD; Trennungsgeldverordnung und Landesregelung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Umzugskostenvergütung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§ 23 Abs. 4 TV-L, § 44 TVöD, Bundesumzugskostengesetz und Landesregelung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Unterstützungen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Unterstützungsgrundsätze</w:t>
      </w:r>
      <w:r w:rsidRPr="005E4A4D">
        <w:rPr>
          <w:sz w:val="16"/>
          <w:szCs w:val="16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Verpflegungszuschuss als Trennungsgeld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§ 23 Abs. 4 TV-L, § 44 Abs. 1 TVöD; Trennungsgeldverordnung und Landesregelung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Vermögenswirksame Leistungen</w:t>
      </w:r>
    </w:p>
    <w:p w:rsidR="003C1D15" w:rsidRPr="005E4A4D" w:rsidRDefault="003C1D15" w:rsidP="003C1D15">
      <w:pPr>
        <w:pStyle w:val="Default"/>
        <w:ind w:left="1418"/>
        <w:rPr>
          <w:sz w:val="16"/>
          <w:szCs w:val="16"/>
        </w:rPr>
      </w:pPr>
      <w:r w:rsidRPr="005E4A4D">
        <w:rPr>
          <w:sz w:val="16"/>
          <w:szCs w:val="16"/>
        </w:rPr>
        <w:t>§ 23 Abs. 1 TV-L, § 23 Abs. 1 TVöD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Wohnungsfürsorge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>
        <w:rPr>
          <w:sz w:val="22"/>
          <w:szCs w:val="22"/>
        </w:rPr>
        <w:t>Arbeitszeitausgleich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>
        <w:rPr>
          <w:sz w:val="22"/>
          <w:szCs w:val="22"/>
        </w:rPr>
        <w:t>Betreuungszuschüsse z.B. für Kinder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5E4A4D">
        <w:rPr>
          <w:sz w:val="22"/>
          <w:szCs w:val="22"/>
        </w:rPr>
        <w:t>private Nutzung von Technik, Geräten u. Material</w:t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0776C">
        <w:rPr>
          <w:sz w:val="28"/>
          <w:szCs w:val="28"/>
        </w:rPr>
        <w:t>. Arbeitsbedingungen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  <w:t>insbesondere</w:t>
      </w:r>
    </w:p>
    <w:p w:rsidR="003C1D15" w:rsidRPr="009372E7" w:rsidRDefault="003C1D15" w:rsidP="003C1D15">
      <w:pPr>
        <w:pStyle w:val="Default"/>
        <w:ind w:left="1418" w:hanging="567"/>
        <w:rPr>
          <w:sz w:val="18"/>
          <w:szCs w:val="18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allgemeine Arbeitsbedingungen </w:t>
      </w:r>
      <w:r>
        <w:rPr>
          <w:sz w:val="22"/>
          <w:szCs w:val="22"/>
        </w:rPr>
        <w:br/>
      </w:r>
      <w:r w:rsidRPr="009372E7">
        <w:rPr>
          <w:sz w:val="18"/>
          <w:szCs w:val="18"/>
        </w:rPr>
        <w:t xml:space="preserve">§ 3 TV-L, </w:t>
      </w:r>
      <w:r>
        <w:rPr>
          <w:sz w:val="18"/>
          <w:szCs w:val="18"/>
        </w:rPr>
        <w:t>§ 3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>Arbeitsbefreiungen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§ </w:t>
      </w:r>
      <w:r w:rsidRPr="00E618E2">
        <w:rPr>
          <w:sz w:val="18"/>
          <w:szCs w:val="18"/>
        </w:rPr>
        <w:t>29 TV-L, § 29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A</w:t>
      </w:r>
      <w:r>
        <w:rPr>
          <w:sz w:val="22"/>
          <w:szCs w:val="22"/>
        </w:rPr>
        <w:t xml:space="preserve">rbeitszeitregelungen, 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§§ 6 bis 11 TV-L, §§ 6 - 11 TVöD</w:t>
      </w:r>
      <w:r>
        <w:rPr>
          <w:sz w:val="18"/>
          <w:szCs w:val="18"/>
        </w:rPr>
        <w:t xml:space="preserve">, </w:t>
      </w:r>
      <w:r w:rsidRPr="007853B1">
        <w:rPr>
          <w:sz w:val="16"/>
          <w:szCs w:val="16"/>
        </w:rPr>
        <w:t xml:space="preserve"> </w:t>
      </w:r>
      <w:r w:rsidRPr="00C0776C">
        <w:rPr>
          <w:sz w:val="16"/>
          <w:szCs w:val="16"/>
        </w:rPr>
        <w:t>Landesregelung, analoge Anwendung AZVO § 8</w:t>
      </w:r>
      <w:r>
        <w:rPr>
          <w:sz w:val="16"/>
          <w:szCs w:val="16"/>
        </w:rPr>
        <w:t xml:space="preserve">, </w:t>
      </w:r>
      <w:r w:rsidRPr="00833075">
        <w:rPr>
          <w:sz w:val="16"/>
          <w:szCs w:val="16"/>
        </w:rPr>
        <w:t>Arbeitszeitgesetz (ArbZG)</w:t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Gestellung eines Kraftfahrzeugs (Benutzung durch einzelne Beschäftigte)</w:t>
      </w:r>
      <w:r w:rsidRPr="00C0776C">
        <w:rPr>
          <w:sz w:val="22"/>
          <w:szCs w:val="22"/>
        </w:rPr>
        <w:tab/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 xml:space="preserve">Nebentätigkeiten 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 3 Abs. 4 TV-L, § 3 Abs. 3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>Urlaub und Sonderurlaub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§§ 26 bis 28 TV-L, §§ 26 bis 28 TVöD</w:t>
      </w:r>
    </w:p>
    <w:p w:rsidR="003C1D15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C0776C">
        <w:rPr>
          <w:sz w:val="22"/>
          <w:szCs w:val="22"/>
        </w:rPr>
        <w:t>Verpflichtung Arbeitszeitnachweis</w:t>
      </w:r>
      <w:r>
        <w:rPr>
          <w:sz w:val="22"/>
          <w:szCs w:val="22"/>
        </w:rPr>
        <w:t xml:space="preserve"> </w:t>
      </w:r>
    </w:p>
    <w:p w:rsidR="003C1D15" w:rsidRPr="00833075" w:rsidRDefault="003C1D15" w:rsidP="003C1D15">
      <w:pPr>
        <w:pStyle w:val="Default"/>
        <w:ind w:left="1418"/>
        <w:rPr>
          <w:sz w:val="18"/>
          <w:szCs w:val="18"/>
        </w:rPr>
      </w:pPr>
      <w:r w:rsidRPr="00833075">
        <w:rPr>
          <w:sz w:val="18"/>
          <w:szCs w:val="18"/>
        </w:rPr>
        <w:t>Arbeitszeitgesetz (ArbZG)</w:t>
      </w:r>
      <w:r>
        <w:rPr>
          <w:sz w:val="18"/>
          <w:szCs w:val="18"/>
        </w:rPr>
        <w:t xml:space="preserve"> § 16 Abs. 2</w:t>
      </w:r>
    </w:p>
    <w:p w:rsidR="003C1D15" w:rsidRPr="005C1101" w:rsidRDefault="003C1D15" w:rsidP="00966CEE">
      <w:pPr>
        <w:pStyle w:val="Default"/>
        <w:jc w:val="both"/>
        <w:rPr>
          <w:sz w:val="4"/>
          <w:szCs w:val="4"/>
        </w:rPr>
      </w:pPr>
    </w:p>
    <w:sectPr w:rsidR="003C1D15" w:rsidRPr="005C1101" w:rsidSect="002B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6" w:bottom="567" w:left="126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C" w:rsidRDefault="005F735C" w:rsidP="0061518F">
      <w:r>
        <w:separator/>
      </w:r>
    </w:p>
  </w:endnote>
  <w:endnote w:type="continuationSeparator" w:id="0">
    <w:p w:rsidR="005F735C" w:rsidRDefault="005F735C" w:rsidP="0061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DB" w:rsidRDefault="002B12DB" w:rsidP="002B12DB">
    <w:pPr>
      <w:tabs>
        <w:tab w:val="center" w:pos="4536"/>
        <w:tab w:val="right" w:pos="9072"/>
      </w:tabs>
    </w:pPr>
    <w:r w:rsidRPr="002B12DB">
      <w:rPr>
        <w:rFonts w:ascii="Calibri" w:eastAsia="Calibri" w:hAnsi="Calibri"/>
        <w:sz w:val="18"/>
        <w:szCs w:val="18"/>
        <w:lang w:eastAsia="en-US"/>
      </w:rPr>
      <w:t>L</w:t>
    </w:r>
    <w:r w:rsidR="007B6450">
      <w:rPr>
        <w:rFonts w:ascii="Calibri" w:eastAsia="Calibri" w:hAnsi="Calibri"/>
        <w:sz w:val="18"/>
        <w:szCs w:val="18"/>
        <w:lang w:eastAsia="en-US"/>
      </w:rPr>
      <w:t>VwA – Ref 501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Fb 55</w:t>
    </w:r>
    <w:r>
      <w:rPr>
        <w:rFonts w:ascii="Calibri" w:eastAsia="Calibri" w:hAnsi="Calibri"/>
        <w:sz w:val="18"/>
        <w:szCs w:val="18"/>
        <w:lang w:eastAsia="en-US"/>
      </w:rPr>
      <w:t>0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– </w:t>
    </w:r>
    <w:r>
      <w:rPr>
        <w:rFonts w:ascii="Calibri" w:eastAsia="Calibri" w:hAnsi="Calibri"/>
        <w:sz w:val="18"/>
        <w:szCs w:val="18"/>
        <w:lang w:eastAsia="en-US"/>
      </w:rPr>
      <w:t>Eigenerklärung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zum Besserstellungsverbot Projekt   Stand: </w:t>
    </w:r>
    <w:r w:rsidR="007B6450">
      <w:rPr>
        <w:rFonts w:ascii="Calibri" w:eastAsia="Calibri" w:hAnsi="Calibri"/>
        <w:sz w:val="18"/>
        <w:szCs w:val="18"/>
        <w:lang w:eastAsia="en-US"/>
      </w:rPr>
      <w:t>01.08.2018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C" w:rsidRDefault="005F735C" w:rsidP="0061518F">
      <w:r>
        <w:separator/>
      </w:r>
    </w:p>
  </w:footnote>
  <w:footnote w:type="continuationSeparator" w:id="0">
    <w:p w:rsidR="005F735C" w:rsidRDefault="005F735C" w:rsidP="0061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983"/>
    <w:multiLevelType w:val="hybridMultilevel"/>
    <w:tmpl w:val="F684C542"/>
    <w:lvl w:ilvl="0" w:tplc="67FC8C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C7961"/>
    <w:multiLevelType w:val="hybridMultilevel"/>
    <w:tmpl w:val="9D648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268"/>
    <w:multiLevelType w:val="hybridMultilevel"/>
    <w:tmpl w:val="781E74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880"/>
    <w:multiLevelType w:val="hybridMultilevel"/>
    <w:tmpl w:val="54B28812"/>
    <w:lvl w:ilvl="0" w:tplc="ED1E5A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6B88"/>
    <w:multiLevelType w:val="hybridMultilevel"/>
    <w:tmpl w:val="3B3023DE"/>
    <w:lvl w:ilvl="0" w:tplc="0407000F">
      <w:start w:val="1"/>
      <w:numFmt w:val="decimal"/>
      <w:lvlText w:val="%1."/>
      <w:lvlJc w:val="left"/>
      <w:pPr>
        <w:ind w:left="191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638" w:hanging="360"/>
      </w:pPr>
    </w:lvl>
    <w:lvl w:ilvl="2" w:tplc="0407001B" w:tentative="1">
      <w:start w:val="1"/>
      <w:numFmt w:val="lowerRoman"/>
      <w:lvlText w:val="%3."/>
      <w:lvlJc w:val="right"/>
      <w:pPr>
        <w:ind w:left="3358" w:hanging="180"/>
      </w:pPr>
    </w:lvl>
    <w:lvl w:ilvl="3" w:tplc="0407000F" w:tentative="1">
      <w:start w:val="1"/>
      <w:numFmt w:val="decimal"/>
      <w:lvlText w:val="%4."/>
      <w:lvlJc w:val="left"/>
      <w:pPr>
        <w:ind w:left="4078" w:hanging="360"/>
      </w:pPr>
    </w:lvl>
    <w:lvl w:ilvl="4" w:tplc="04070019" w:tentative="1">
      <w:start w:val="1"/>
      <w:numFmt w:val="lowerLetter"/>
      <w:lvlText w:val="%5."/>
      <w:lvlJc w:val="left"/>
      <w:pPr>
        <w:ind w:left="4798" w:hanging="360"/>
      </w:pPr>
    </w:lvl>
    <w:lvl w:ilvl="5" w:tplc="0407001B" w:tentative="1">
      <w:start w:val="1"/>
      <w:numFmt w:val="lowerRoman"/>
      <w:lvlText w:val="%6."/>
      <w:lvlJc w:val="right"/>
      <w:pPr>
        <w:ind w:left="5518" w:hanging="180"/>
      </w:pPr>
    </w:lvl>
    <w:lvl w:ilvl="6" w:tplc="0407000F" w:tentative="1">
      <w:start w:val="1"/>
      <w:numFmt w:val="decimal"/>
      <w:lvlText w:val="%7."/>
      <w:lvlJc w:val="left"/>
      <w:pPr>
        <w:ind w:left="6238" w:hanging="360"/>
      </w:pPr>
    </w:lvl>
    <w:lvl w:ilvl="7" w:tplc="04070019" w:tentative="1">
      <w:start w:val="1"/>
      <w:numFmt w:val="lowerLetter"/>
      <w:lvlText w:val="%8."/>
      <w:lvlJc w:val="left"/>
      <w:pPr>
        <w:ind w:left="6958" w:hanging="360"/>
      </w:pPr>
    </w:lvl>
    <w:lvl w:ilvl="8" w:tplc="0407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D"/>
    <w:rsid w:val="00005028"/>
    <w:rsid w:val="000158B7"/>
    <w:rsid w:val="000200B3"/>
    <w:rsid w:val="0006216B"/>
    <w:rsid w:val="000E21DD"/>
    <w:rsid w:val="00113339"/>
    <w:rsid w:val="0016104F"/>
    <w:rsid w:val="001A546C"/>
    <w:rsid w:val="001D27F3"/>
    <w:rsid w:val="001F6FFD"/>
    <w:rsid w:val="002049F9"/>
    <w:rsid w:val="00225CF3"/>
    <w:rsid w:val="002749A5"/>
    <w:rsid w:val="00287F07"/>
    <w:rsid w:val="00295E4C"/>
    <w:rsid w:val="002B12DB"/>
    <w:rsid w:val="002D07FC"/>
    <w:rsid w:val="002E71C9"/>
    <w:rsid w:val="00301F6C"/>
    <w:rsid w:val="00307747"/>
    <w:rsid w:val="0034032B"/>
    <w:rsid w:val="0035219F"/>
    <w:rsid w:val="00366E37"/>
    <w:rsid w:val="00396653"/>
    <w:rsid w:val="003A3341"/>
    <w:rsid w:val="003B6DE6"/>
    <w:rsid w:val="003C1D15"/>
    <w:rsid w:val="003C6446"/>
    <w:rsid w:val="003D355E"/>
    <w:rsid w:val="004150D5"/>
    <w:rsid w:val="00456FF9"/>
    <w:rsid w:val="00482C73"/>
    <w:rsid w:val="004B2DC2"/>
    <w:rsid w:val="004B3C9B"/>
    <w:rsid w:val="004C414C"/>
    <w:rsid w:val="004F3436"/>
    <w:rsid w:val="00506C1B"/>
    <w:rsid w:val="00566A61"/>
    <w:rsid w:val="00567693"/>
    <w:rsid w:val="005839AD"/>
    <w:rsid w:val="00587A8D"/>
    <w:rsid w:val="00596794"/>
    <w:rsid w:val="005B4C13"/>
    <w:rsid w:val="005C1101"/>
    <w:rsid w:val="005C3209"/>
    <w:rsid w:val="005E4A4D"/>
    <w:rsid w:val="005F0187"/>
    <w:rsid w:val="005F735C"/>
    <w:rsid w:val="006131C2"/>
    <w:rsid w:val="0061518F"/>
    <w:rsid w:val="00627EAD"/>
    <w:rsid w:val="00631B53"/>
    <w:rsid w:val="0066208A"/>
    <w:rsid w:val="00665D49"/>
    <w:rsid w:val="00667720"/>
    <w:rsid w:val="006B75E2"/>
    <w:rsid w:val="006D3382"/>
    <w:rsid w:val="006D52EE"/>
    <w:rsid w:val="006F4ABF"/>
    <w:rsid w:val="00705C17"/>
    <w:rsid w:val="007145C9"/>
    <w:rsid w:val="007648AE"/>
    <w:rsid w:val="007715DE"/>
    <w:rsid w:val="007853B1"/>
    <w:rsid w:val="007944BE"/>
    <w:rsid w:val="00795735"/>
    <w:rsid w:val="007B6450"/>
    <w:rsid w:val="007D1EAF"/>
    <w:rsid w:val="00833075"/>
    <w:rsid w:val="0083426B"/>
    <w:rsid w:val="008606E2"/>
    <w:rsid w:val="00883511"/>
    <w:rsid w:val="008A47C6"/>
    <w:rsid w:val="008C435D"/>
    <w:rsid w:val="008C49BB"/>
    <w:rsid w:val="00927CC5"/>
    <w:rsid w:val="009372E7"/>
    <w:rsid w:val="00966CEE"/>
    <w:rsid w:val="00995738"/>
    <w:rsid w:val="009978D0"/>
    <w:rsid w:val="009A2410"/>
    <w:rsid w:val="009A362F"/>
    <w:rsid w:val="009A4332"/>
    <w:rsid w:val="009A6691"/>
    <w:rsid w:val="00A02FDF"/>
    <w:rsid w:val="00A2429D"/>
    <w:rsid w:val="00A306B6"/>
    <w:rsid w:val="00A65F31"/>
    <w:rsid w:val="00AB3FB2"/>
    <w:rsid w:val="00AB6200"/>
    <w:rsid w:val="00AE54AA"/>
    <w:rsid w:val="00B06080"/>
    <w:rsid w:val="00B17122"/>
    <w:rsid w:val="00B23FA3"/>
    <w:rsid w:val="00B343C0"/>
    <w:rsid w:val="00B53A7E"/>
    <w:rsid w:val="00B60AD2"/>
    <w:rsid w:val="00B65759"/>
    <w:rsid w:val="00B6590B"/>
    <w:rsid w:val="00B66976"/>
    <w:rsid w:val="00B8759A"/>
    <w:rsid w:val="00BB22B4"/>
    <w:rsid w:val="00BC2A3E"/>
    <w:rsid w:val="00BD3B83"/>
    <w:rsid w:val="00C0776C"/>
    <w:rsid w:val="00C07E8C"/>
    <w:rsid w:val="00C12F6A"/>
    <w:rsid w:val="00C14450"/>
    <w:rsid w:val="00C302B4"/>
    <w:rsid w:val="00C4435E"/>
    <w:rsid w:val="00C76758"/>
    <w:rsid w:val="00C76DAB"/>
    <w:rsid w:val="00CB24A3"/>
    <w:rsid w:val="00CE6115"/>
    <w:rsid w:val="00D31CC3"/>
    <w:rsid w:val="00D5355D"/>
    <w:rsid w:val="00D535AE"/>
    <w:rsid w:val="00D54885"/>
    <w:rsid w:val="00D61B4D"/>
    <w:rsid w:val="00D739D9"/>
    <w:rsid w:val="00D902F5"/>
    <w:rsid w:val="00D93BCF"/>
    <w:rsid w:val="00DB6332"/>
    <w:rsid w:val="00E073B5"/>
    <w:rsid w:val="00E43349"/>
    <w:rsid w:val="00E618E2"/>
    <w:rsid w:val="00E64F2F"/>
    <w:rsid w:val="00EC18DB"/>
    <w:rsid w:val="00EE6945"/>
    <w:rsid w:val="00EF1B7A"/>
    <w:rsid w:val="00EF2AA4"/>
    <w:rsid w:val="00F0092A"/>
    <w:rsid w:val="00F05287"/>
    <w:rsid w:val="00F431CD"/>
    <w:rsid w:val="00F64B92"/>
    <w:rsid w:val="00FB5322"/>
    <w:rsid w:val="00FF366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6C8045F-3C73-49BD-A4E5-577DB62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1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E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4150D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semiHidden/>
    <w:rsid w:val="009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5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518F"/>
    <w:rPr>
      <w:sz w:val="24"/>
      <w:szCs w:val="24"/>
    </w:rPr>
  </w:style>
  <w:style w:type="paragraph" w:styleId="Fuzeile">
    <w:name w:val="footer"/>
    <w:basedOn w:val="Standard"/>
    <w:link w:val="FuzeileZchn"/>
    <w:rsid w:val="006151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5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1F87-6DF8-4EFD-904C-09B95B7C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155F776</Template>
  <TotalTime>0</TotalTime>
  <Pages>4</Pages>
  <Words>1593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Besserstellungsverbot</vt:lpstr>
    </vt:vector>
  </TitlesOfParts>
  <Company>Landesversorgungsamt M-V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Besserstellungsverbot</dc:title>
  <dc:subject/>
  <dc:creator>,</dc:creator>
  <cp:keywords/>
  <cp:lastModifiedBy>Gelhaar, Jens</cp:lastModifiedBy>
  <cp:revision>4</cp:revision>
  <cp:lastPrinted>2018-09-21T11:54:00Z</cp:lastPrinted>
  <dcterms:created xsi:type="dcterms:W3CDTF">2018-08-28T12:27:00Z</dcterms:created>
  <dcterms:modified xsi:type="dcterms:W3CDTF">2018-09-21T11:54:00Z</dcterms:modified>
</cp:coreProperties>
</file>